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DD050" w14:textId="54A049F7" w:rsidR="00961BC8" w:rsidRDefault="00FB6144" w:rsidP="00D56B3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SPA </w:t>
      </w:r>
      <w:proofErr w:type="spellStart"/>
      <w:r>
        <w:rPr>
          <w:b/>
        </w:rPr>
        <w:t>Peds</w:t>
      </w:r>
      <w:proofErr w:type="spellEnd"/>
      <w:r>
        <w:rPr>
          <w:b/>
        </w:rPr>
        <w:t xml:space="preserve"> crisis checklist scenario - ANAPHYLAXIS</w:t>
      </w:r>
    </w:p>
    <w:p w14:paraId="6520298F" w14:textId="77777777" w:rsidR="00961BC8" w:rsidRDefault="00961BC8" w:rsidP="00D56B32">
      <w:pPr>
        <w:jc w:val="center"/>
        <w:rPr>
          <w:b/>
        </w:rPr>
      </w:pPr>
    </w:p>
    <w:p w14:paraId="7F41A1E8" w14:textId="5AAFB5AC" w:rsidR="00D56B32" w:rsidRPr="00F77082" w:rsidRDefault="00D56B32" w:rsidP="00D56B32">
      <w:pPr>
        <w:rPr>
          <w:b/>
        </w:rPr>
      </w:pPr>
      <w:r w:rsidRPr="00F77082">
        <w:rPr>
          <w:b/>
        </w:rPr>
        <w:t>Scenario Overview</w:t>
      </w:r>
    </w:p>
    <w:p w14:paraId="13ED429C" w14:textId="77777777" w:rsidR="00D56B32" w:rsidRDefault="00D56B32" w:rsidP="00D56B32">
      <w:r>
        <w:t xml:space="preserve"> </w:t>
      </w:r>
    </w:p>
    <w:p w14:paraId="6C31E9D8" w14:textId="2F8DCFC0" w:rsidR="00D56B32" w:rsidRDefault="00546FA8" w:rsidP="001A62FE">
      <w:r>
        <w:t xml:space="preserve">  </w:t>
      </w:r>
      <w:r>
        <w:tab/>
      </w:r>
      <w:r w:rsidRPr="00546FA8">
        <w:rPr>
          <w:u w:val="single"/>
        </w:rPr>
        <w:t>Name of Scenario</w:t>
      </w:r>
      <w:r>
        <w:t xml:space="preserve">: </w:t>
      </w:r>
      <w:r w:rsidR="00F711F1">
        <w:t>Post-</w:t>
      </w:r>
      <w:r w:rsidR="00826EBE">
        <w:t>induction anaphylaxis</w:t>
      </w:r>
    </w:p>
    <w:p w14:paraId="51E4E7DF" w14:textId="77777777" w:rsidR="00D56B32" w:rsidRDefault="00D56B32" w:rsidP="00D56B32">
      <w:r>
        <w:t xml:space="preserve"> </w:t>
      </w:r>
    </w:p>
    <w:p w14:paraId="55A03F23" w14:textId="77777777" w:rsidR="00D56B32" w:rsidRDefault="00D56B32" w:rsidP="00D56B32">
      <w:r>
        <w:t xml:space="preserve"> </w:t>
      </w:r>
      <w:r>
        <w:tab/>
      </w:r>
      <w:r w:rsidRPr="00964796">
        <w:rPr>
          <w:u w:val="single"/>
        </w:rPr>
        <w:t>Learning Objectives of Scenario</w:t>
      </w:r>
      <w:r>
        <w:t>:</w:t>
      </w:r>
    </w:p>
    <w:p w14:paraId="7FA2F57B" w14:textId="77777777" w:rsidR="00964796" w:rsidRDefault="00D56B32" w:rsidP="00964796">
      <w:r>
        <w:t xml:space="preserve"> </w:t>
      </w:r>
      <w:r>
        <w:tab/>
      </w:r>
      <w:r>
        <w:tab/>
      </w:r>
    </w:p>
    <w:p w14:paraId="29B072BC" w14:textId="77777777" w:rsidR="00964796" w:rsidRDefault="00D56B32" w:rsidP="000C4859">
      <w:pPr>
        <w:ind w:left="1440"/>
        <w:rPr>
          <w:b/>
        </w:rPr>
      </w:pPr>
      <w:r w:rsidRPr="00D56B32">
        <w:rPr>
          <w:b/>
        </w:rPr>
        <w:t>Cognitive:</w:t>
      </w:r>
      <w:r w:rsidR="00546FA8">
        <w:rPr>
          <w:b/>
        </w:rPr>
        <w:t xml:space="preserve"> </w:t>
      </w:r>
    </w:p>
    <w:p w14:paraId="45BC14A1" w14:textId="7FBE37BD" w:rsidR="00964796" w:rsidRDefault="00964796" w:rsidP="000C4859">
      <w:pPr>
        <w:ind w:left="2160"/>
      </w:pPr>
      <w:r w:rsidRPr="002F076A">
        <w:t xml:space="preserve">1. </w:t>
      </w:r>
      <w:r w:rsidR="00CD69CE">
        <w:t>Descri</w:t>
      </w:r>
      <w:r w:rsidR="00980029">
        <w:t>be the differential diagnosis for</w:t>
      </w:r>
      <w:r w:rsidR="000C4859">
        <w:t xml:space="preserve"> severe </w:t>
      </w:r>
      <w:r w:rsidR="00CD69CE">
        <w:t>cardiopulmonary compromise post induction</w:t>
      </w:r>
    </w:p>
    <w:p w14:paraId="50361D6E" w14:textId="2FE9898D" w:rsidR="00F21A9F" w:rsidRDefault="00964796" w:rsidP="000C4859">
      <w:pPr>
        <w:ind w:left="1440"/>
      </w:pPr>
      <w:r>
        <w:tab/>
      </w:r>
      <w:r w:rsidR="008601E5">
        <w:t xml:space="preserve">2. </w:t>
      </w:r>
      <w:r w:rsidR="00CD69CE">
        <w:t xml:space="preserve">Outline the clinical features of </w:t>
      </w:r>
      <w:r w:rsidR="008601E5">
        <w:t>anaphylaxis</w:t>
      </w:r>
    </w:p>
    <w:p w14:paraId="1D120001" w14:textId="3359FD2F" w:rsidR="00F21A9F" w:rsidRDefault="000C4859" w:rsidP="000C4859">
      <w:pPr>
        <w:ind w:left="1440"/>
      </w:pPr>
      <w:r>
        <w:t xml:space="preserve">             </w:t>
      </w:r>
      <w:r w:rsidR="008601E5">
        <w:t>3</w:t>
      </w:r>
      <w:r w:rsidR="00F21A9F">
        <w:t xml:space="preserve">. </w:t>
      </w:r>
      <w:r w:rsidR="00CD69CE">
        <w:t>Prioritize pharmacologic management of anaphylaxis</w:t>
      </w:r>
    </w:p>
    <w:p w14:paraId="23D8D343" w14:textId="7E2E9E8E" w:rsidR="00D56B32" w:rsidRDefault="008601E5" w:rsidP="000C4859">
      <w:pPr>
        <w:ind w:left="2160"/>
      </w:pPr>
      <w:r>
        <w:t>4</w:t>
      </w:r>
      <w:r w:rsidR="00F21A9F">
        <w:t xml:space="preserve">. </w:t>
      </w:r>
      <w:r w:rsidR="00CD69CE">
        <w:t>Discuss postoperative management of successfully managed intraoperative anaphylaxis</w:t>
      </w:r>
    </w:p>
    <w:p w14:paraId="502D736D" w14:textId="77777777" w:rsidR="00964796" w:rsidRDefault="00964796" w:rsidP="000C4859">
      <w:pPr>
        <w:ind w:left="1440"/>
        <w:rPr>
          <w:b/>
        </w:rPr>
      </w:pPr>
      <w:r>
        <w:t xml:space="preserve"> </w:t>
      </w:r>
      <w:r w:rsidR="00D56B32" w:rsidRPr="00D56B32">
        <w:rPr>
          <w:b/>
        </w:rPr>
        <w:t>Technical:</w:t>
      </w:r>
      <w:r w:rsidR="00546FA8">
        <w:rPr>
          <w:b/>
        </w:rPr>
        <w:t xml:space="preserve">  </w:t>
      </w:r>
    </w:p>
    <w:p w14:paraId="7AB1FE60" w14:textId="6E93B718" w:rsidR="00964796" w:rsidRPr="00964796" w:rsidRDefault="00964796" w:rsidP="000C4859">
      <w:pPr>
        <w:ind w:left="1440"/>
        <w:rPr>
          <w:b/>
        </w:rPr>
      </w:pPr>
      <w:r>
        <w:tab/>
      </w:r>
      <w:r w:rsidR="00546FA8">
        <w:t xml:space="preserve">1. </w:t>
      </w:r>
      <w:r w:rsidR="00517C88">
        <w:t xml:space="preserve">Demonstrate </w:t>
      </w:r>
      <w:r w:rsidR="00CD69CE">
        <w:t xml:space="preserve">appropriate dosing and </w:t>
      </w:r>
      <w:r w:rsidR="00031A2B">
        <w:t xml:space="preserve">use of epinephrine for </w:t>
      </w:r>
      <w:r w:rsidR="00CD69CE">
        <w:t xml:space="preserve">treatment </w:t>
      </w:r>
      <w:r w:rsidR="00031A2B">
        <w:t xml:space="preserve">of anaphylaxis </w:t>
      </w:r>
    </w:p>
    <w:p w14:paraId="6CE88F5E" w14:textId="7E449F2F" w:rsidR="00F77082" w:rsidRDefault="00964796" w:rsidP="000C4859">
      <w:pPr>
        <w:ind w:left="1440"/>
      </w:pPr>
      <w:r>
        <w:tab/>
      </w:r>
      <w:r w:rsidR="00546FA8">
        <w:t xml:space="preserve">2. </w:t>
      </w:r>
      <w:r>
        <w:t>D</w:t>
      </w:r>
      <w:r w:rsidR="008601E5">
        <w:t xml:space="preserve">emonstrate the </w:t>
      </w:r>
      <w:r w:rsidR="00F06E3C">
        <w:t>use of</w:t>
      </w:r>
      <w:r w:rsidR="00546FA8">
        <w:t xml:space="preserve"> </w:t>
      </w:r>
      <w:r w:rsidR="00031A2B">
        <w:t>PALS guidelines for resuscitation</w:t>
      </w:r>
    </w:p>
    <w:p w14:paraId="45379339" w14:textId="59CF4555" w:rsidR="00546FA8" w:rsidRPr="00546FA8" w:rsidRDefault="008601E5" w:rsidP="000C4859">
      <w:pPr>
        <w:ind w:left="1440"/>
      </w:pPr>
      <w:r>
        <w:t xml:space="preserve">             3</w:t>
      </w:r>
      <w:r w:rsidR="00F77082">
        <w:t xml:space="preserve">. </w:t>
      </w:r>
      <w:r w:rsidR="00546FA8">
        <w:t xml:space="preserve"> </w:t>
      </w:r>
      <w:r w:rsidR="00CD69CE">
        <w:t>Effectively manage anaphylaxis in a simulated setting</w:t>
      </w:r>
    </w:p>
    <w:p w14:paraId="2A5EBD40" w14:textId="447A2E9C" w:rsidR="00D56B32" w:rsidRDefault="00D56B32" w:rsidP="000C4859">
      <w:pPr>
        <w:ind w:left="1440"/>
      </w:pPr>
      <w:r>
        <w:t xml:space="preserve"> </w:t>
      </w:r>
    </w:p>
    <w:p w14:paraId="0F8F0EC8" w14:textId="77777777" w:rsidR="00D56B32" w:rsidRDefault="00944188" w:rsidP="000C4859">
      <w:pPr>
        <w:ind w:left="1440"/>
        <w:rPr>
          <w:b/>
        </w:rPr>
      </w:pPr>
      <w:r>
        <w:t xml:space="preserve"> </w:t>
      </w:r>
      <w:r w:rsidR="00D56B32" w:rsidRPr="00D56B32">
        <w:rPr>
          <w:b/>
        </w:rPr>
        <w:t>Behavioral:</w:t>
      </w:r>
    </w:p>
    <w:p w14:paraId="7E36B730" w14:textId="61229414" w:rsidR="00944188" w:rsidRDefault="00944188" w:rsidP="000C4859">
      <w:pPr>
        <w:ind w:left="2160"/>
      </w:pPr>
      <w:r>
        <w:t xml:space="preserve">1. </w:t>
      </w:r>
      <w:r w:rsidR="00CD69CE">
        <w:t>Rapid analysis of necessary cohorts/skillsets available – call for help if additional staff needed</w:t>
      </w:r>
    </w:p>
    <w:p w14:paraId="141EB6E8" w14:textId="05DC93A9" w:rsidR="00944188" w:rsidRPr="00944188" w:rsidRDefault="00944188" w:rsidP="000C4859">
      <w:pPr>
        <w:ind w:left="2160"/>
      </w:pPr>
      <w:r>
        <w:t xml:space="preserve">2. </w:t>
      </w:r>
      <w:r w:rsidR="00CD69CE">
        <w:t>Effective team communication during a code situation:</w:t>
      </w:r>
      <w:r w:rsidR="008601E5">
        <w:t xml:space="preserve"> identification of team leader, assignment of</w:t>
      </w:r>
      <w:r w:rsidR="00326BBD">
        <w:t xml:space="preserve"> </w:t>
      </w:r>
      <w:r>
        <w:t xml:space="preserve">roles, </w:t>
      </w:r>
      <w:r w:rsidR="0036045A">
        <w:t xml:space="preserve">and </w:t>
      </w:r>
      <w:r>
        <w:t>closed-loop communication</w:t>
      </w:r>
    </w:p>
    <w:p w14:paraId="795BAF87" w14:textId="77777777" w:rsidR="00D56B32" w:rsidRDefault="00D56B32" w:rsidP="00D56B32">
      <w:r>
        <w:t xml:space="preserve"> </w:t>
      </w:r>
    </w:p>
    <w:p w14:paraId="4D69D8A9" w14:textId="77777777" w:rsidR="00D56B32" w:rsidRPr="007223B7" w:rsidRDefault="00D56B32" w:rsidP="00D56B32">
      <w:pPr>
        <w:rPr>
          <w:b/>
        </w:rPr>
      </w:pPr>
      <w:r w:rsidRPr="007223B7">
        <w:rPr>
          <w:b/>
        </w:rPr>
        <w:t xml:space="preserve"> Patient Description: </w:t>
      </w:r>
      <w:r w:rsidRPr="007223B7">
        <w:rPr>
          <w:b/>
        </w:rPr>
        <w:tab/>
      </w:r>
    </w:p>
    <w:p w14:paraId="1B48DAF3" w14:textId="4C5AC184" w:rsidR="00944188" w:rsidRPr="007223B7" w:rsidRDefault="00D56B32" w:rsidP="00D56B32">
      <w:r>
        <w:t xml:space="preserve"> </w:t>
      </w:r>
    </w:p>
    <w:p w14:paraId="22ECFFD8" w14:textId="232D7039" w:rsidR="00944188" w:rsidRDefault="00BE23F0" w:rsidP="00944188">
      <w:pPr>
        <w:ind w:left="810"/>
      </w:pPr>
      <w:r>
        <w:t>A</w:t>
      </w:r>
      <w:r w:rsidR="000C4859">
        <w:t xml:space="preserve"> 3-year-</w:t>
      </w:r>
      <w:r w:rsidR="008D3F4B">
        <w:t xml:space="preserve">old, 15 kg </w:t>
      </w:r>
      <w:r w:rsidR="000C4859">
        <w:t>boy</w:t>
      </w:r>
      <w:r w:rsidR="008D3F4B">
        <w:t xml:space="preserve"> </w:t>
      </w:r>
      <w:r w:rsidR="000C4859">
        <w:t>is scheduled for reduction of</w:t>
      </w:r>
      <w:r w:rsidR="008601E5">
        <w:t xml:space="preserve"> </w:t>
      </w:r>
      <w:r>
        <w:t>bilateral inguinal hernia</w:t>
      </w:r>
      <w:r w:rsidR="000C4859">
        <w:t>s</w:t>
      </w:r>
      <w:r>
        <w:t xml:space="preserve">. He is allergic to </w:t>
      </w:r>
      <w:r w:rsidR="000C4859">
        <w:t xml:space="preserve">ampicillin / </w:t>
      </w:r>
      <w:proofErr w:type="spellStart"/>
      <w:r w:rsidR="000C4859">
        <w:t>clavulanic</w:t>
      </w:r>
      <w:proofErr w:type="spellEnd"/>
      <w:r w:rsidR="000C4859">
        <w:t xml:space="preserve"> acid</w:t>
      </w:r>
      <w:r>
        <w:t xml:space="preserve">. </w:t>
      </w:r>
    </w:p>
    <w:p w14:paraId="791FD815" w14:textId="77777777" w:rsidR="009C469D" w:rsidRDefault="009C469D" w:rsidP="00944188">
      <w:pPr>
        <w:ind w:left="810"/>
      </w:pPr>
    </w:p>
    <w:p w14:paraId="55B19CEE" w14:textId="1D332026" w:rsidR="009C469D" w:rsidRDefault="009C469D" w:rsidP="00944188">
      <w:pPr>
        <w:ind w:left="810"/>
      </w:pPr>
      <w:r>
        <w:t>Medications</w:t>
      </w:r>
      <w:r w:rsidR="008601E5">
        <w:t>:</w:t>
      </w:r>
      <w:r w:rsidR="00BE23F0">
        <w:t xml:space="preserve"> none</w:t>
      </w:r>
    </w:p>
    <w:p w14:paraId="7F70A34B" w14:textId="7F94D602" w:rsidR="009C469D" w:rsidRDefault="009C469D" w:rsidP="00BE23F0"/>
    <w:p w14:paraId="1F356038" w14:textId="4056E72B" w:rsidR="009C469D" w:rsidRDefault="009C469D" w:rsidP="00944188">
      <w:pPr>
        <w:ind w:left="810"/>
      </w:pPr>
      <w:r>
        <w:t>S</w:t>
      </w:r>
      <w:r w:rsidR="007223B7">
        <w:t xml:space="preserve">urgical and Social </w:t>
      </w:r>
      <w:r>
        <w:t>H</w:t>
      </w:r>
      <w:r w:rsidR="007223B7">
        <w:t>istory</w:t>
      </w:r>
      <w:r>
        <w:t>: non-contributory</w:t>
      </w:r>
    </w:p>
    <w:p w14:paraId="5DB91471" w14:textId="77777777" w:rsidR="00944188" w:rsidRDefault="00944188" w:rsidP="00D56B32"/>
    <w:p w14:paraId="325BD029" w14:textId="60EF3A6E" w:rsidR="009C469D" w:rsidRDefault="00D56B32" w:rsidP="00D56B32">
      <w:r>
        <w:t xml:space="preserve"> </w:t>
      </w:r>
      <w:r>
        <w:tab/>
      </w:r>
      <w:r w:rsidR="007223B7">
        <w:t xml:space="preserve">  </w:t>
      </w:r>
      <w:r w:rsidRPr="009C469D">
        <w:rPr>
          <w:i/>
        </w:rPr>
        <w:t>Baseline Vital Signs</w:t>
      </w:r>
      <w:r>
        <w:t>:</w:t>
      </w:r>
      <w:r w:rsidR="008601E5">
        <w:t xml:space="preserve">  T </w:t>
      </w:r>
      <w:proofErr w:type="spellStart"/>
      <w:r w:rsidR="00BE23F0">
        <w:t>36.7C</w:t>
      </w:r>
      <w:proofErr w:type="spellEnd"/>
      <w:r w:rsidR="00BE23F0">
        <w:t>, HR 88, BP</w:t>
      </w:r>
      <w:r w:rsidR="008601E5">
        <w:t xml:space="preserve"> </w:t>
      </w:r>
      <w:r w:rsidR="009C469D">
        <w:t>112/76</w:t>
      </w:r>
      <w:r w:rsidR="008601E5">
        <w:t xml:space="preserve">, </w:t>
      </w:r>
      <w:r w:rsidR="00BE23F0">
        <w:t xml:space="preserve">RR </w:t>
      </w:r>
      <w:r w:rsidR="008601E5">
        <w:t xml:space="preserve">16, </w:t>
      </w:r>
      <w:proofErr w:type="spellStart"/>
      <w:r w:rsidR="00BE23F0">
        <w:t>SpO2</w:t>
      </w:r>
      <w:proofErr w:type="spellEnd"/>
      <w:r w:rsidR="00BE23F0">
        <w:t xml:space="preserve"> </w:t>
      </w:r>
      <w:r w:rsidR="009C469D">
        <w:t>100%</w:t>
      </w:r>
      <w:r w:rsidR="00BE23F0">
        <w:t xml:space="preserve"> </w:t>
      </w:r>
    </w:p>
    <w:p w14:paraId="074D7E1A" w14:textId="77777777" w:rsidR="009C469D" w:rsidRDefault="009C469D" w:rsidP="00D56B32"/>
    <w:p w14:paraId="2AFA5842" w14:textId="18257D54" w:rsidR="009C469D" w:rsidRDefault="00D56B32" w:rsidP="00D56B32">
      <w:r>
        <w:t xml:space="preserve"> </w:t>
      </w:r>
      <w:r>
        <w:tab/>
      </w:r>
      <w:r w:rsidR="007223B7">
        <w:t xml:space="preserve"> </w:t>
      </w:r>
      <w:r>
        <w:t>Baseline Lab Values:</w:t>
      </w:r>
      <w:r w:rsidR="00980029">
        <w:t xml:space="preserve">  </w:t>
      </w:r>
      <w:r w:rsidR="009C469D">
        <w:t>None</w:t>
      </w:r>
    </w:p>
    <w:p w14:paraId="6118B643" w14:textId="77777777" w:rsidR="00D56B32" w:rsidRDefault="00D56B32" w:rsidP="00D56B32">
      <w:r>
        <w:t xml:space="preserve"> </w:t>
      </w:r>
    </w:p>
    <w:p w14:paraId="0C1523D3" w14:textId="70270F7F" w:rsidR="00D56B32" w:rsidRDefault="00D56B32" w:rsidP="00D56B32">
      <w:r>
        <w:t xml:space="preserve"> Target Trainees (Learners):</w:t>
      </w:r>
      <w:r w:rsidR="009C469D">
        <w:t xml:space="preserve"> </w:t>
      </w:r>
      <w:r w:rsidR="008601E5">
        <w:t>P</w:t>
      </w:r>
      <w:r w:rsidR="00BE23F0">
        <w:t xml:space="preserve">ediatric anesthesia providers </w:t>
      </w:r>
    </w:p>
    <w:p w14:paraId="4E090208" w14:textId="77777777" w:rsidR="00943E2F" w:rsidRDefault="00943E2F" w:rsidP="00D56B32"/>
    <w:p w14:paraId="4A9FBBE1" w14:textId="60F142E9" w:rsidR="00943E2F" w:rsidRDefault="00943E2F" w:rsidP="00D56B32">
      <w:r>
        <w:t>Confederates Needed: Anesthesiologist performing handoff</w:t>
      </w:r>
      <w:r w:rsidR="00185486">
        <w:t>/later comes in if help is called for</w:t>
      </w:r>
      <w:r>
        <w:t>, surgeon</w:t>
      </w:r>
      <w:r w:rsidR="00185486">
        <w:t>, circulating nurse</w:t>
      </w:r>
      <w:r>
        <w:t>.</w:t>
      </w:r>
      <w:r w:rsidR="00185486">
        <w:t xml:space="preserve"> </w:t>
      </w:r>
      <w:r>
        <w:t xml:space="preserve"> </w:t>
      </w:r>
    </w:p>
    <w:p w14:paraId="220C1651" w14:textId="77777777" w:rsidR="00D56B32" w:rsidRDefault="00D56B32" w:rsidP="00D56B32">
      <w:r>
        <w:t xml:space="preserve"> </w:t>
      </w:r>
    </w:p>
    <w:p w14:paraId="44C0F1E6" w14:textId="77777777" w:rsidR="00D56B32" w:rsidRDefault="00D56B32" w:rsidP="00D56B32">
      <w:r>
        <w:lastRenderedPageBreak/>
        <w:t xml:space="preserve"> Anticipated Duration:</w:t>
      </w:r>
    </w:p>
    <w:p w14:paraId="390CE18B" w14:textId="77777777" w:rsidR="00D56B32" w:rsidRDefault="00D56B32" w:rsidP="00D56B32">
      <w:r>
        <w:t xml:space="preserve"> </w:t>
      </w:r>
    </w:p>
    <w:p w14:paraId="3E3554EF" w14:textId="77777777" w:rsidR="00D56B32" w:rsidRDefault="00D56B32" w:rsidP="00D56B32">
      <w:r>
        <w:t xml:space="preserve"> </w:t>
      </w:r>
      <w:r>
        <w:tab/>
        <w:t>Scenario Time:</w:t>
      </w:r>
      <w:r w:rsidR="009C469D">
        <w:t xml:space="preserve"> 10-15 minutes</w:t>
      </w:r>
    </w:p>
    <w:p w14:paraId="1F081A96" w14:textId="77777777" w:rsidR="00D56B32" w:rsidRDefault="00D56B32" w:rsidP="00D56B32">
      <w:r>
        <w:t xml:space="preserve"> </w:t>
      </w:r>
    </w:p>
    <w:p w14:paraId="14F0A418" w14:textId="77777777" w:rsidR="00D56B32" w:rsidRDefault="00D56B32" w:rsidP="00D56B32">
      <w:r>
        <w:t xml:space="preserve"> </w:t>
      </w:r>
      <w:r>
        <w:tab/>
        <w:t>Debriefing Time (typically 2-</w:t>
      </w:r>
      <w:proofErr w:type="spellStart"/>
      <w:r>
        <w:t>3x</w:t>
      </w:r>
      <w:proofErr w:type="spellEnd"/>
      <w:r>
        <w:t xml:space="preserve"> scenario length)</w:t>
      </w:r>
      <w:r w:rsidR="009C469D">
        <w:t>: 30-45 minutes</w:t>
      </w:r>
    </w:p>
    <w:p w14:paraId="6ED3D7A6" w14:textId="77777777" w:rsidR="00D56B32" w:rsidRPr="00D56B32" w:rsidRDefault="00D56B32" w:rsidP="00D56B32">
      <w:pPr>
        <w:rPr>
          <w:u w:val="single"/>
        </w:rPr>
      </w:pPr>
      <w:r>
        <w:t xml:space="preserve"> </w:t>
      </w:r>
    </w:p>
    <w:p w14:paraId="5004FE94" w14:textId="56A2BD4B" w:rsidR="00D56B32" w:rsidRPr="00D56B32" w:rsidRDefault="00D56B32" w:rsidP="00D56B32">
      <w:pPr>
        <w:rPr>
          <w:b/>
          <w:u w:val="single"/>
        </w:rPr>
      </w:pPr>
      <w:r w:rsidRPr="00D56B32">
        <w:rPr>
          <w:b/>
          <w:u w:val="single"/>
        </w:rPr>
        <w:t xml:space="preserve"> </w:t>
      </w:r>
      <w:r w:rsidR="00E627AD">
        <w:rPr>
          <w:b/>
          <w:u w:val="single"/>
        </w:rPr>
        <w:t>Scenario Set-up</w:t>
      </w:r>
    </w:p>
    <w:p w14:paraId="6AA75698" w14:textId="191835DA" w:rsidR="00D56B32" w:rsidRPr="00BA1B8B" w:rsidRDefault="008601E5" w:rsidP="00D16B00">
      <w:pPr>
        <w:tabs>
          <w:tab w:val="left" w:pos="1873"/>
        </w:tabs>
        <w:ind w:left="720"/>
      </w:pPr>
      <w:r>
        <w:t xml:space="preserve">Pediatric High Fidelity </w:t>
      </w:r>
      <w:r w:rsidR="00A908B3">
        <w:t>Simulation Manikin</w:t>
      </w:r>
      <w:r w:rsidR="00D16B00">
        <w:t>, Toddler size, simulated rash on mannequin’s torso</w:t>
      </w:r>
    </w:p>
    <w:p w14:paraId="30B1F576" w14:textId="03F92D5C" w:rsidR="00D56B32" w:rsidRDefault="00D56B32" w:rsidP="00D56B32">
      <w:r>
        <w:t xml:space="preserve"> </w:t>
      </w:r>
      <w:r>
        <w:tab/>
        <w:t>Room Configuration (set up):</w:t>
      </w:r>
      <w:r w:rsidR="009C469D">
        <w:t xml:space="preserve"> </w:t>
      </w:r>
      <w:r w:rsidR="00A908B3">
        <w:t>Standard pediatric operating room set-</w:t>
      </w:r>
      <w:r w:rsidR="009C469D">
        <w:t>up</w:t>
      </w:r>
    </w:p>
    <w:p w14:paraId="094DC352" w14:textId="116FBC37" w:rsidR="00A908B3" w:rsidRDefault="00A908B3" w:rsidP="00D16B00">
      <w:pPr>
        <w:ind w:left="720" w:hanging="720"/>
      </w:pPr>
      <w:r>
        <w:tab/>
        <w:t xml:space="preserve">Society for Pediatric Anesthesia </w:t>
      </w:r>
      <w:proofErr w:type="spellStart"/>
      <w:r>
        <w:t>PediCrisis</w:t>
      </w:r>
      <w:proofErr w:type="spellEnd"/>
      <w:r>
        <w:t xml:space="preserve"> Manual</w:t>
      </w:r>
      <w:r w:rsidR="00DE48C2">
        <w:t xml:space="preserve"> </w:t>
      </w:r>
      <w:r w:rsidR="00DE48C2" w:rsidRPr="00DE48C2">
        <w:t>http://www.pedsanesthesia.org/wp-content/uploads/2018/03/SPACriticalEventsChecklists.pdf</w:t>
      </w:r>
    </w:p>
    <w:p w14:paraId="36228D74" w14:textId="77777777" w:rsidR="00D56B32" w:rsidRDefault="00D56B32" w:rsidP="00D56B32">
      <w:r>
        <w:t xml:space="preserve"> </w:t>
      </w:r>
    </w:p>
    <w:p w14:paraId="66996FF5" w14:textId="5F126C5B" w:rsidR="00D56B32" w:rsidRDefault="00D56B32" w:rsidP="00D56B32">
      <w:r>
        <w:t xml:space="preserve"> Equipment Needed:</w:t>
      </w:r>
      <w:r w:rsidR="009C469D">
        <w:t xml:space="preserve"> anesthetic machine, anesthetic drug cart, airway equipment, </w:t>
      </w:r>
      <w:r w:rsidR="00DE48C2">
        <w:t xml:space="preserve">standard </w:t>
      </w:r>
      <w:r w:rsidR="009C469D">
        <w:t>drugs in</w:t>
      </w:r>
      <w:r w:rsidR="00DE48C2">
        <w:t xml:space="preserve"> syringes or in drug cart including </w:t>
      </w:r>
      <w:proofErr w:type="spellStart"/>
      <w:r w:rsidR="009C469D">
        <w:t>propofol</w:t>
      </w:r>
      <w:proofErr w:type="spellEnd"/>
      <w:r w:rsidR="009C469D">
        <w:t xml:space="preserve">, </w:t>
      </w:r>
      <w:proofErr w:type="spellStart"/>
      <w:r w:rsidR="009C469D">
        <w:t>rocuronium</w:t>
      </w:r>
      <w:proofErr w:type="spellEnd"/>
      <w:r w:rsidR="009C469D">
        <w:t xml:space="preserve">, epinephrine, </w:t>
      </w:r>
      <w:r w:rsidR="00BE23F0">
        <w:t>hydrocortisone, diphenhydramine</w:t>
      </w:r>
    </w:p>
    <w:p w14:paraId="0C4F826B" w14:textId="3D2DBA0F" w:rsidR="00DF2354" w:rsidRDefault="00D56B32" w:rsidP="00D56B32">
      <w:r>
        <w:t xml:space="preserve"> </w:t>
      </w:r>
    </w:p>
    <w:p w14:paraId="614B0063" w14:textId="45273762" w:rsidR="00DF2354" w:rsidRDefault="00D16B00" w:rsidP="00D56B32">
      <w:r>
        <w:t>At the start of the scenario, t</w:t>
      </w:r>
      <w:r w:rsidR="00DF2354">
        <w:t>he patient will be on the OR table</w:t>
      </w:r>
      <w:r>
        <w:t>,</w:t>
      </w:r>
      <w:r w:rsidR="00DF2354">
        <w:t xml:space="preserve"> intubated</w:t>
      </w:r>
      <w:r>
        <w:t>,</w:t>
      </w:r>
      <w:r w:rsidR="000C4859">
        <w:t xml:space="preserve"> and mechanically ventilated.</w:t>
      </w:r>
      <w:r w:rsidR="00DF2354">
        <w:t xml:space="preserve"> </w:t>
      </w:r>
      <w:r w:rsidR="000C4859">
        <w:t xml:space="preserve">ASA </w:t>
      </w:r>
      <w:r>
        <w:t xml:space="preserve">standard </w:t>
      </w:r>
      <w:r w:rsidR="00DF2354">
        <w:t>monitors</w:t>
      </w:r>
      <w:r w:rsidR="000C4859">
        <w:t xml:space="preserve"> will be in use</w:t>
      </w:r>
      <w:r>
        <w:t>. The scenario will start after induction but</w:t>
      </w:r>
      <w:r w:rsidR="00DF2354">
        <w:t xml:space="preserve"> prior to draping.  An IV is infusing </w:t>
      </w:r>
      <w:r w:rsidR="000C4859">
        <w:t xml:space="preserve">a </w:t>
      </w:r>
      <w:r w:rsidR="00980029">
        <w:t>crystalloid</w:t>
      </w:r>
      <w:r w:rsidR="000C4859">
        <w:t xml:space="preserve"> solution</w:t>
      </w:r>
      <w:r>
        <w:t xml:space="preserve">. </w:t>
      </w:r>
      <w:r w:rsidR="00DF2354">
        <w:t>A rash is visible on the torso.</w:t>
      </w:r>
    </w:p>
    <w:p w14:paraId="0C789EEC" w14:textId="77777777" w:rsidR="00D56B32" w:rsidRDefault="00D56B32" w:rsidP="00D56B32">
      <w:r>
        <w:t xml:space="preserve"> </w:t>
      </w:r>
    </w:p>
    <w:p w14:paraId="6A57A551" w14:textId="0CAB6B5E" w:rsidR="00D56B32" w:rsidRPr="00BE23F0" w:rsidRDefault="00D16B00" w:rsidP="00D56B32">
      <w:r>
        <w:t xml:space="preserve"> </w:t>
      </w:r>
      <w:r w:rsidR="00D56B32" w:rsidRPr="00D56B32">
        <w:rPr>
          <w:b/>
          <w:u w:val="single"/>
        </w:rPr>
        <w:t>Scenario Logistics</w:t>
      </w:r>
    </w:p>
    <w:p w14:paraId="3F6E0531" w14:textId="77777777" w:rsidR="00D56B32" w:rsidRDefault="00D56B32" w:rsidP="00D56B32">
      <w:r>
        <w:t xml:space="preserve"> </w:t>
      </w:r>
    </w:p>
    <w:p w14:paraId="11643359" w14:textId="158039EA" w:rsidR="000F1F7A" w:rsidRDefault="00D56B32" w:rsidP="00D56B32">
      <w:r>
        <w:t xml:space="preserve"> </w:t>
      </w:r>
      <w:r>
        <w:tab/>
        <w:t>Expected Scenario Flow</w:t>
      </w:r>
      <w:r w:rsidR="00025C23">
        <w:t>:</w:t>
      </w:r>
    </w:p>
    <w:p w14:paraId="4C129F1E" w14:textId="77777777" w:rsidR="000F1F7A" w:rsidRDefault="000F1F7A" w:rsidP="00D56B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36"/>
        <w:gridCol w:w="2277"/>
        <w:gridCol w:w="2165"/>
      </w:tblGrid>
      <w:tr w:rsidR="000F1F7A" w14:paraId="52BD3FC5" w14:textId="77777777" w:rsidTr="00FF657D">
        <w:tc>
          <w:tcPr>
            <w:tcW w:w="2178" w:type="dxa"/>
          </w:tcPr>
          <w:p w14:paraId="58389E5F" w14:textId="77777777" w:rsidR="000F1F7A" w:rsidRDefault="000F1F7A" w:rsidP="00FF657D">
            <w:r>
              <w:t>State</w:t>
            </w:r>
          </w:p>
        </w:tc>
        <w:tc>
          <w:tcPr>
            <w:tcW w:w="2236" w:type="dxa"/>
          </w:tcPr>
          <w:p w14:paraId="0F208BAD" w14:textId="77777777" w:rsidR="000F1F7A" w:rsidRDefault="000F1F7A" w:rsidP="00FF657D">
            <w:r>
              <w:t>Patient Status</w:t>
            </w:r>
          </w:p>
        </w:tc>
        <w:tc>
          <w:tcPr>
            <w:tcW w:w="2277" w:type="dxa"/>
          </w:tcPr>
          <w:p w14:paraId="6E9B2FF4" w14:textId="77777777" w:rsidR="000F1F7A" w:rsidRDefault="000F1F7A" w:rsidP="00FF657D">
            <w:r>
              <w:t>Learner Actions</w:t>
            </w:r>
          </w:p>
        </w:tc>
        <w:tc>
          <w:tcPr>
            <w:tcW w:w="2165" w:type="dxa"/>
          </w:tcPr>
          <w:p w14:paraId="528BA81D" w14:textId="77777777" w:rsidR="000F1F7A" w:rsidRDefault="000F1F7A" w:rsidP="00FF657D"/>
        </w:tc>
      </w:tr>
      <w:tr w:rsidR="000F1F7A" w14:paraId="2F1E57C8" w14:textId="77777777" w:rsidTr="00FF657D">
        <w:tc>
          <w:tcPr>
            <w:tcW w:w="2178" w:type="dxa"/>
          </w:tcPr>
          <w:p w14:paraId="41443D3C" w14:textId="77777777" w:rsidR="000F1F7A" w:rsidRDefault="000F1F7A" w:rsidP="00FF657D">
            <w:r>
              <w:t>Baseline</w:t>
            </w:r>
          </w:p>
        </w:tc>
        <w:tc>
          <w:tcPr>
            <w:tcW w:w="2236" w:type="dxa"/>
          </w:tcPr>
          <w:p w14:paraId="71EE0A60" w14:textId="77777777" w:rsidR="000F1F7A" w:rsidRDefault="000F1F7A" w:rsidP="00FF657D">
            <w:r>
              <w:t>Stable immediately post induction</w:t>
            </w:r>
          </w:p>
          <w:p w14:paraId="5410EE13" w14:textId="77777777" w:rsidR="000F1F7A" w:rsidRDefault="000F1F7A" w:rsidP="00FF657D"/>
          <w:p w14:paraId="288A29A4" w14:textId="253DC32D" w:rsidR="000F1F7A" w:rsidRDefault="00D16B00" w:rsidP="00FF657D">
            <w:r>
              <w:t xml:space="preserve">T </w:t>
            </w:r>
            <w:r w:rsidR="000F1F7A">
              <w:t xml:space="preserve">36.7 C, HR 88, BP 112/76 RR 16 </w:t>
            </w:r>
            <w:proofErr w:type="spellStart"/>
            <w:r w:rsidR="000C4859">
              <w:t>SaO</w:t>
            </w:r>
            <w:r w:rsidR="000C4859">
              <w:rPr>
                <w:vertAlign w:val="subscript"/>
              </w:rPr>
              <w:t>2</w:t>
            </w:r>
            <w:proofErr w:type="spellEnd"/>
            <w:r w:rsidR="000F1F7A">
              <w:t xml:space="preserve"> 100%</w:t>
            </w:r>
          </w:p>
        </w:tc>
        <w:tc>
          <w:tcPr>
            <w:tcW w:w="2277" w:type="dxa"/>
          </w:tcPr>
          <w:p w14:paraId="576C5124" w14:textId="52D57C91" w:rsidR="000F1F7A" w:rsidRDefault="00D16B00" w:rsidP="00FF657D">
            <w:r>
              <w:t>Enters room, receives handoff from confederate.  Surveys patient/setup/VS.</w:t>
            </w:r>
          </w:p>
          <w:p w14:paraId="7171C6BD" w14:textId="77777777" w:rsidR="000F1F7A" w:rsidRDefault="000F1F7A" w:rsidP="00FF657D"/>
          <w:p w14:paraId="34E239BF" w14:textId="6318AFF3" w:rsidR="000F1F7A" w:rsidRDefault="000F1F7A" w:rsidP="00FF657D">
            <w:r>
              <w:t>Speaks to surgeon</w:t>
            </w:r>
            <w:r w:rsidR="00D16B00">
              <w:t>.</w:t>
            </w:r>
          </w:p>
        </w:tc>
        <w:tc>
          <w:tcPr>
            <w:tcW w:w="2165" w:type="dxa"/>
          </w:tcPr>
          <w:p w14:paraId="65CE1C3E" w14:textId="77777777" w:rsidR="000F1F7A" w:rsidRDefault="000F1F7A" w:rsidP="00FF657D"/>
        </w:tc>
      </w:tr>
      <w:tr w:rsidR="000F1F7A" w14:paraId="22C22845" w14:textId="77777777" w:rsidTr="00FF657D">
        <w:tc>
          <w:tcPr>
            <w:tcW w:w="2178" w:type="dxa"/>
          </w:tcPr>
          <w:p w14:paraId="3A1A64A8" w14:textId="77777777" w:rsidR="000F1F7A" w:rsidRDefault="000F1F7A" w:rsidP="00FF657D">
            <w:r>
              <w:t>Deterioration</w:t>
            </w:r>
          </w:p>
        </w:tc>
        <w:tc>
          <w:tcPr>
            <w:tcW w:w="2236" w:type="dxa"/>
          </w:tcPr>
          <w:p w14:paraId="21944212" w14:textId="7458E02C" w:rsidR="000F1F7A" w:rsidRDefault="000F1F7A" w:rsidP="00FF657D">
            <w:r>
              <w:t>Just after confederate anesthesiologist leaves</w:t>
            </w:r>
            <w:r w:rsidR="00D16B00">
              <w:t xml:space="preserve"> the OR</w:t>
            </w:r>
            <w:r>
              <w:t>:</w:t>
            </w:r>
          </w:p>
          <w:p w14:paraId="4FB7797D" w14:textId="77777777" w:rsidR="000F1F7A" w:rsidRDefault="000F1F7A" w:rsidP="00FF657D"/>
          <w:p w14:paraId="4CBC9F27" w14:textId="7DA2FB2A" w:rsidR="000F1F7A" w:rsidRDefault="000F1F7A" w:rsidP="00FF657D">
            <w:r>
              <w:t>36.7</w:t>
            </w:r>
            <w:r w:rsidR="00D16B00">
              <w:t xml:space="preserve"> </w:t>
            </w:r>
            <w:r>
              <w:t xml:space="preserve">C, HR 138, </w:t>
            </w:r>
            <w:proofErr w:type="gramStart"/>
            <w:r>
              <w:t>BP 74/41</w:t>
            </w:r>
            <w:proofErr w:type="gramEnd"/>
            <w:r>
              <w:t xml:space="preserve"> Sat 86% PIPs increase</w:t>
            </w:r>
            <w:r w:rsidR="002357EE">
              <w:t xml:space="preserve">, wheezing can be heard on auscultation. </w:t>
            </w:r>
          </w:p>
        </w:tc>
        <w:tc>
          <w:tcPr>
            <w:tcW w:w="2277" w:type="dxa"/>
          </w:tcPr>
          <w:p w14:paraId="7B3286D6" w14:textId="733A7270" w:rsidR="000F1F7A" w:rsidRDefault="000F1F7A" w:rsidP="00FF657D">
            <w:r>
              <w:t>Auscultate for bronchospasm, check circuit</w:t>
            </w:r>
            <w:r w:rsidR="00025C23">
              <w:t xml:space="preserve">. </w:t>
            </w:r>
          </w:p>
          <w:p w14:paraId="5C6BC09E" w14:textId="0C179984" w:rsidR="000F1F7A" w:rsidRDefault="000F1F7A" w:rsidP="00FF657D">
            <w:r>
              <w:t>Tell surgeon</w:t>
            </w:r>
            <w:r w:rsidR="00025C23">
              <w:t xml:space="preserve"> differential: pneumothorax</w:t>
            </w:r>
            <w:r>
              <w:t xml:space="preserve">, bronchospasm, </w:t>
            </w:r>
            <w:proofErr w:type="spellStart"/>
            <w:r>
              <w:t>malpositioned</w:t>
            </w:r>
            <w:proofErr w:type="spellEnd"/>
            <w:r>
              <w:t xml:space="preserve"> ETT, anaphylaxis.  </w:t>
            </w:r>
          </w:p>
          <w:p w14:paraId="2CC9576C" w14:textId="224BA563" w:rsidR="000F1F7A" w:rsidRDefault="000F1F7A" w:rsidP="00FF657D">
            <w:r>
              <w:t xml:space="preserve">Consider anaphylaxis and treat with epinephrine in appropriate doses.  If </w:t>
            </w:r>
            <w:r w:rsidR="00D20B8F">
              <w:lastRenderedPageBreak/>
              <w:t xml:space="preserve">participant </w:t>
            </w:r>
            <w:r>
              <w:t>treats appropriately</w:t>
            </w:r>
            <w:r w:rsidR="00D20B8F">
              <w:t>, skip ‘Arrest’ section and</w:t>
            </w:r>
            <w:r>
              <w:t xml:space="preserve"> go to </w:t>
            </w:r>
            <w:r w:rsidR="00D20B8F">
              <w:t>‘</w:t>
            </w:r>
            <w:r>
              <w:t>Stabilizes</w:t>
            </w:r>
            <w:r w:rsidR="00D20B8F">
              <w:t>’ section instead.</w:t>
            </w:r>
          </w:p>
        </w:tc>
        <w:tc>
          <w:tcPr>
            <w:tcW w:w="2165" w:type="dxa"/>
          </w:tcPr>
          <w:p w14:paraId="432BA4E6" w14:textId="0D659859" w:rsidR="000F1F7A" w:rsidRDefault="000F1F7A" w:rsidP="00FF657D">
            <w:r>
              <w:lastRenderedPageBreak/>
              <w:t>Surgeon asks</w:t>
            </w:r>
            <w:r w:rsidR="000C4859">
              <w:t>,</w:t>
            </w:r>
            <w:r>
              <w:t xml:space="preserve"> </w:t>
            </w:r>
            <w:r w:rsidR="00D16B00">
              <w:t>“</w:t>
            </w:r>
            <w:r w:rsidR="000C4859">
              <w:t>What’s going on</w:t>
            </w:r>
            <w:r>
              <w:t>?</w:t>
            </w:r>
            <w:r w:rsidR="00D16B00">
              <w:t>”</w:t>
            </w:r>
          </w:p>
          <w:p w14:paraId="7C61DD26" w14:textId="77777777" w:rsidR="000F1F7A" w:rsidRDefault="000F1F7A" w:rsidP="00FF657D"/>
          <w:p w14:paraId="516DF397" w14:textId="77777777" w:rsidR="000F1F7A" w:rsidRDefault="000F1F7A" w:rsidP="00FF657D"/>
          <w:p w14:paraId="0226BA35" w14:textId="710CE300" w:rsidR="000F1F7A" w:rsidRDefault="000F1F7A" w:rsidP="00AC6478">
            <w:r>
              <w:t>If anaphylaxis is not considered</w:t>
            </w:r>
            <w:r w:rsidR="00AC6478">
              <w:t>, the</w:t>
            </w:r>
            <w:r>
              <w:t xml:space="preserve"> circulat</w:t>
            </w:r>
            <w:r w:rsidR="00AC6478">
              <w:t>ing</w:t>
            </w:r>
            <w:r>
              <w:t xml:space="preserve"> nurs</w:t>
            </w:r>
            <w:r w:rsidR="00025C23">
              <w:t xml:space="preserve">e points out </w:t>
            </w:r>
            <w:r w:rsidR="00AC6478">
              <w:t xml:space="preserve">the </w:t>
            </w:r>
            <w:r w:rsidR="00025C23">
              <w:t xml:space="preserve">rash to </w:t>
            </w:r>
            <w:r w:rsidR="00AC6478">
              <w:t xml:space="preserve">the </w:t>
            </w:r>
            <w:r w:rsidR="00025C23">
              <w:t>l</w:t>
            </w:r>
            <w:r>
              <w:t xml:space="preserve">earner while patient deteriorates to </w:t>
            </w:r>
            <w:r w:rsidR="000C4859">
              <w:t xml:space="preserve">eventual cardiac </w:t>
            </w:r>
            <w:r>
              <w:t>arrest</w:t>
            </w:r>
            <w:r w:rsidR="00025C23">
              <w:t>.</w:t>
            </w:r>
          </w:p>
        </w:tc>
      </w:tr>
      <w:tr w:rsidR="000F1F7A" w14:paraId="2F133DDE" w14:textId="77777777" w:rsidTr="00FF657D">
        <w:tc>
          <w:tcPr>
            <w:tcW w:w="2178" w:type="dxa"/>
          </w:tcPr>
          <w:p w14:paraId="0D8FAE92" w14:textId="77777777" w:rsidR="000F1F7A" w:rsidRDefault="000F1F7A" w:rsidP="00FF657D">
            <w:r>
              <w:lastRenderedPageBreak/>
              <w:t>Arrest</w:t>
            </w:r>
          </w:p>
        </w:tc>
        <w:tc>
          <w:tcPr>
            <w:tcW w:w="2236" w:type="dxa"/>
          </w:tcPr>
          <w:p w14:paraId="5C28D6CD" w14:textId="5A39A4D0" w:rsidR="000F1F7A" w:rsidRDefault="00A46262" w:rsidP="00FF657D">
            <w:r>
              <w:t xml:space="preserve">T </w:t>
            </w:r>
            <w:proofErr w:type="spellStart"/>
            <w:r>
              <w:t>35.4C</w:t>
            </w:r>
            <w:proofErr w:type="spellEnd"/>
            <w:r>
              <w:t xml:space="preserve"> HR 54 BP palpable, </w:t>
            </w:r>
            <w:proofErr w:type="spellStart"/>
            <w:r>
              <w:t>SaO</w:t>
            </w:r>
            <w:r w:rsidRPr="000C4859">
              <w:rPr>
                <w:vertAlign w:val="subscript"/>
              </w:rPr>
              <w:t>2</w:t>
            </w:r>
            <w:proofErr w:type="spellEnd"/>
            <w:r w:rsidR="000F1F7A">
              <w:t xml:space="preserve"> unreadable</w:t>
            </w:r>
          </w:p>
        </w:tc>
        <w:tc>
          <w:tcPr>
            <w:tcW w:w="2277" w:type="dxa"/>
          </w:tcPr>
          <w:p w14:paraId="25C5666B" w14:textId="3D514706" w:rsidR="000F1F7A" w:rsidRDefault="00A46262" w:rsidP="00FF657D">
            <w:r>
              <w:t xml:space="preserve">Calls for help, initiates PALS. </w:t>
            </w:r>
            <w:r w:rsidR="000F1F7A">
              <w:t>Give</w:t>
            </w:r>
            <w:r>
              <w:t>s</w:t>
            </w:r>
            <w:r w:rsidR="000F1F7A">
              <w:t xml:space="preserve"> epinephrine as part of PALS resuscitation</w:t>
            </w:r>
            <w:r>
              <w:t>.</w:t>
            </w:r>
          </w:p>
          <w:p w14:paraId="20F6D896" w14:textId="77777777" w:rsidR="000F1F7A" w:rsidRDefault="000F1F7A" w:rsidP="00FF657D"/>
        </w:tc>
        <w:tc>
          <w:tcPr>
            <w:tcW w:w="2165" w:type="dxa"/>
          </w:tcPr>
          <w:p w14:paraId="38DFB16F" w14:textId="4CC2F550" w:rsidR="000F1F7A" w:rsidRDefault="000F1F7A" w:rsidP="00FF657D">
            <w:r>
              <w:t xml:space="preserve">Surgeon attempts to distract from </w:t>
            </w:r>
            <w:r w:rsidR="00A46262">
              <w:t xml:space="preserve">the </w:t>
            </w:r>
            <w:r>
              <w:t xml:space="preserve">beginning </w:t>
            </w:r>
            <w:r w:rsidR="00A46262">
              <w:t xml:space="preserve">of the </w:t>
            </w:r>
            <w:r>
              <w:t>resuscitation by asking if this will delay his room</w:t>
            </w:r>
            <w:r w:rsidR="00A46262">
              <w:t>.</w:t>
            </w:r>
          </w:p>
          <w:p w14:paraId="78A6B8FA" w14:textId="17BB55DC" w:rsidR="000F1F7A" w:rsidRDefault="00A46262" w:rsidP="00A46262">
            <w:r>
              <w:t>The circulator facilitates by</w:t>
            </w:r>
            <w:r w:rsidR="000F1F7A">
              <w:t xml:space="preserve"> calling for help, </w:t>
            </w:r>
            <w:r>
              <w:t xml:space="preserve">obtaining the </w:t>
            </w:r>
            <w:r w:rsidR="000F1F7A">
              <w:t xml:space="preserve">crash cart, and forcing </w:t>
            </w:r>
            <w:r>
              <w:t xml:space="preserve">the </w:t>
            </w:r>
            <w:r w:rsidR="000F1F7A">
              <w:t>learner to be specific in requests.</w:t>
            </w:r>
          </w:p>
        </w:tc>
      </w:tr>
      <w:tr w:rsidR="000F1F7A" w14:paraId="18E18BDC" w14:textId="77777777" w:rsidTr="00FF657D">
        <w:tc>
          <w:tcPr>
            <w:tcW w:w="2178" w:type="dxa"/>
          </w:tcPr>
          <w:p w14:paraId="10392878" w14:textId="77777777" w:rsidR="000F1F7A" w:rsidRDefault="000F1F7A" w:rsidP="00FF657D">
            <w:r>
              <w:t>Stabilizes</w:t>
            </w:r>
          </w:p>
        </w:tc>
        <w:tc>
          <w:tcPr>
            <w:tcW w:w="2236" w:type="dxa"/>
          </w:tcPr>
          <w:p w14:paraId="7BD24D9F" w14:textId="79848630" w:rsidR="000F1F7A" w:rsidRDefault="00FF657D" w:rsidP="00FF657D">
            <w:r>
              <w:t xml:space="preserve">T </w:t>
            </w:r>
            <w:proofErr w:type="spellStart"/>
            <w:r>
              <w:t>36.0C</w:t>
            </w:r>
            <w:proofErr w:type="spellEnd"/>
            <w:r>
              <w:t xml:space="preserve">, HR 112 BP 108/69 </w:t>
            </w:r>
            <w:proofErr w:type="spellStart"/>
            <w:r>
              <w:t>SaO</w:t>
            </w:r>
            <w:r w:rsidRPr="000C4859">
              <w:rPr>
                <w:vertAlign w:val="subscript"/>
              </w:rPr>
              <w:t>2</w:t>
            </w:r>
            <w:proofErr w:type="spellEnd"/>
            <w:r w:rsidR="000F1F7A">
              <w:t xml:space="preserve"> 100%</w:t>
            </w:r>
          </w:p>
        </w:tc>
        <w:tc>
          <w:tcPr>
            <w:tcW w:w="2277" w:type="dxa"/>
          </w:tcPr>
          <w:p w14:paraId="4DF8B849" w14:textId="77777777" w:rsidR="000F1F7A" w:rsidRDefault="000F1F7A" w:rsidP="00FF657D">
            <w:r>
              <w:t xml:space="preserve">Continue treatment of anaphylaxis with IVF and epinephrine, initiate antihistamine and steroids, send serum </w:t>
            </w:r>
            <w:proofErr w:type="spellStart"/>
            <w:r>
              <w:t>tryptase</w:t>
            </w:r>
            <w:proofErr w:type="spellEnd"/>
          </w:p>
        </w:tc>
        <w:tc>
          <w:tcPr>
            <w:tcW w:w="2165" w:type="dxa"/>
          </w:tcPr>
          <w:p w14:paraId="59C2952C" w14:textId="77777777" w:rsidR="000F1F7A" w:rsidRDefault="000F1F7A" w:rsidP="00FF657D"/>
        </w:tc>
      </w:tr>
      <w:tr w:rsidR="000F1F7A" w14:paraId="1F479F0D" w14:textId="77777777" w:rsidTr="00FF657D">
        <w:tc>
          <w:tcPr>
            <w:tcW w:w="2178" w:type="dxa"/>
          </w:tcPr>
          <w:p w14:paraId="1FBF265B" w14:textId="77777777" w:rsidR="000F1F7A" w:rsidRDefault="000F1F7A" w:rsidP="00FF657D">
            <w:proofErr w:type="spellStart"/>
            <w:r>
              <w:t>PostOp</w:t>
            </w:r>
            <w:proofErr w:type="spellEnd"/>
            <w:r>
              <w:t xml:space="preserve"> Management</w:t>
            </w:r>
          </w:p>
        </w:tc>
        <w:tc>
          <w:tcPr>
            <w:tcW w:w="2236" w:type="dxa"/>
          </w:tcPr>
          <w:p w14:paraId="032F23B7" w14:textId="77777777" w:rsidR="000F1F7A" w:rsidRDefault="000F1F7A" w:rsidP="00FF657D"/>
        </w:tc>
        <w:tc>
          <w:tcPr>
            <w:tcW w:w="2277" w:type="dxa"/>
          </w:tcPr>
          <w:p w14:paraId="4279CEDD" w14:textId="77777777" w:rsidR="000F1F7A" w:rsidRDefault="000F1F7A" w:rsidP="00FF657D">
            <w:r>
              <w:t>Continue surgery?  Offer to discuss with family.  Need for PICU?</w:t>
            </w:r>
          </w:p>
        </w:tc>
        <w:tc>
          <w:tcPr>
            <w:tcW w:w="2165" w:type="dxa"/>
          </w:tcPr>
          <w:p w14:paraId="5601D4A5" w14:textId="6C1CC7BC" w:rsidR="000F1F7A" w:rsidRDefault="000F1F7A" w:rsidP="00FF657D">
            <w:r>
              <w:t>If learner doesn’t initiate post op discussion after stabilizing, surgeon will</w:t>
            </w:r>
            <w:r w:rsidR="00FF657D">
              <w:t>.</w:t>
            </w:r>
          </w:p>
        </w:tc>
      </w:tr>
    </w:tbl>
    <w:p w14:paraId="34F366CF" w14:textId="77777777" w:rsidR="009C469D" w:rsidRDefault="009C469D" w:rsidP="00D56B32"/>
    <w:p w14:paraId="6645AF4F" w14:textId="28583437" w:rsidR="003F530D" w:rsidRDefault="009C469D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scenario begins </w:t>
      </w:r>
      <w:r w:rsidR="00FF657D">
        <w:rPr>
          <w:sz w:val="24"/>
          <w:szCs w:val="24"/>
        </w:rPr>
        <w:t xml:space="preserve">in the operating room after induction of anesthesia </w:t>
      </w:r>
      <w:r w:rsidR="0039698B">
        <w:rPr>
          <w:sz w:val="24"/>
          <w:szCs w:val="24"/>
        </w:rPr>
        <w:t xml:space="preserve">with </w:t>
      </w:r>
      <w:proofErr w:type="spellStart"/>
      <w:r w:rsidR="0039698B">
        <w:rPr>
          <w:sz w:val="24"/>
          <w:szCs w:val="24"/>
        </w:rPr>
        <w:t>propofol</w:t>
      </w:r>
      <w:proofErr w:type="spellEnd"/>
      <w:r w:rsidR="0039698B">
        <w:rPr>
          <w:sz w:val="24"/>
          <w:szCs w:val="24"/>
        </w:rPr>
        <w:t xml:space="preserve"> and </w:t>
      </w:r>
      <w:proofErr w:type="spellStart"/>
      <w:r w:rsidR="0039698B">
        <w:rPr>
          <w:sz w:val="24"/>
          <w:szCs w:val="24"/>
        </w:rPr>
        <w:t>rocuronium</w:t>
      </w:r>
      <w:proofErr w:type="spellEnd"/>
      <w:r w:rsidR="0039698B">
        <w:rPr>
          <w:sz w:val="24"/>
          <w:szCs w:val="24"/>
        </w:rPr>
        <w:t xml:space="preserve"> </w:t>
      </w:r>
      <w:r w:rsidR="00FF657D">
        <w:rPr>
          <w:sz w:val="24"/>
          <w:szCs w:val="24"/>
        </w:rPr>
        <w:t>and intubation</w:t>
      </w:r>
      <w:r w:rsidR="0039698B">
        <w:rPr>
          <w:sz w:val="24"/>
          <w:szCs w:val="24"/>
        </w:rPr>
        <w:t>. T</w:t>
      </w:r>
      <w:r w:rsidR="00BE23F0">
        <w:rPr>
          <w:sz w:val="24"/>
          <w:szCs w:val="24"/>
        </w:rPr>
        <w:t xml:space="preserve">he </w:t>
      </w:r>
      <w:r w:rsidR="0039698B">
        <w:rPr>
          <w:sz w:val="24"/>
          <w:szCs w:val="24"/>
        </w:rPr>
        <w:t xml:space="preserve">anesthesia </w:t>
      </w:r>
      <w:r w:rsidR="00BE23F0">
        <w:rPr>
          <w:sz w:val="24"/>
          <w:szCs w:val="24"/>
        </w:rPr>
        <w:t xml:space="preserve">team is </w:t>
      </w:r>
      <w:r w:rsidR="0039698B">
        <w:rPr>
          <w:sz w:val="24"/>
          <w:szCs w:val="24"/>
        </w:rPr>
        <w:t>preparing</w:t>
      </w:r>
      <w:r w:rsidR="00BE23F0">
        <w:rPr>
          <w:sz w:val="24"/>
          <w:szCs w:val="24"/>
        </w:rPr>
        <w:t xml:space="preserve"> for a caudal block.</w:t>
      </w:r>
    </w:p>
    <w:p w14:paraId="7039533D" w14:textId="77777777" w:rsidR="003F530D" w:rsidRDefault="003F530D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46B0D08D" w14:textId="5AD7D8AD" w:rsidR="00BE0925" w:rsidRDefault="003F530D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Learner now enters the room: Anesthesia confederate</w:t>
      </w:r>
      <w:r w:rsidR="009C469D">
        <w:rPr>
          <w:sz w:val="24"/>
          <w:szCs w:val="24"/>
        </w:rPr>
        <w:t xml:space="preserve"> in the room hands off to a relieving </w:t>
      </w:r>
      <w:r w:rsidR="00847257">
        <w:rPr>
          <w:sz w:val="24"/>
          <w:szCs w:val="24"/>
        </w:rPr>
        <w:t>anesthesia provider (‘hot seat’ anesthesiologist)</w:t>
      </w:r>
      <w:r w:rsidR="009C469D">
        <w:rPr>
          <w:sz w:val="24"/>
          <w:szCs w:val="24"/>
        </w:rPr>
        <w:t xml:space="preserve"> </w:t>
      </w:r>
      <w:r w:rsidR="00BE0925">
        <w:rPr>
          <w:b/>
          <w:sz w:val="24"/>
          <w:szCs w:val="24"/>
          <w:u w:val="single"/>
        </w:rPr>
        <w:t>just after intubation.</w:t>
      </w:r>
      <w:r w:rsidR="009C469D">
        <w:rPr>
          <w:sz w:val="24"/>
          <w:szCs w:val="24"/>
        </w:rPr>
        <w:t xml:space="preserve"> (</w:t>
      </w:r>
      <w:proofErr w:type="gramStart"/>
      <w:r w:rsidR="00BE0925">
        <w:rPr>
          <w:sz w:val="24"/>
          <w:szCs w:val="24"/>
        </w:rPr>
        <w:t>premedication</w:t>
      </w:r>
      <w:proofErr w:type="gramEnd"/>
      <w:r w:rsidR="00BE0925">
        <w:rPr>
          <w:sz w:val="24"/>
          <w:szCs w:val="24"/>
        </w:rPr>
        <w:t xml:space="preserve"> with oral midazolam, smooth inhalational induction, surgeon asked for paralysis, so </w:t>
      </w:r>
      <w:proofErr w:type="spellStart"/>
      <w:r w:rsidR="00BE0925">
        <w:rPr>
          <w:sz w:val="24"/>
          <w:szCs w:val="24"/>
        </w:rPr>
        <w:t>rocuronium</w:t>
      </w:r>
      <w:proofErr w:type="spellEnd"/>
      <w:r w:rsidR="00BE0925">
        <w:rPr>
          <w:sz w:val="24"/>
          <w:szCs w:val="24"/>
        </w:rPr>
        <w:t xml:space="preserve"> 0.5 mg/kg</w:t>
      </w:r>
      <w:r w:rsidR="00FB6144">
        <w:rPr>
          <w:sz w:val="24"/>
          <w:szCs w:val="24"/>
        </w:rPr>
        <w:t xml:space="preserve"> was </w:t>
      </w:r>
      <w:r w:rsidR="00411114">
        <w:rPr>
          <w:sz w:val="24"/>
          <w:szCs w:val="24"/>
        </w:rPr>
        <w:t>administered</w:t>
      </w:r>
      <w:r w:rsidR="00BE0925">
        <w:rPr>
          <w:sz w:val="24"/>
          <w:szCs w:val="24"/>
        </w:rPr>
        <w:t xml:space="preserve"> to facilitate endotracheal intubation with size 5 cuffed ETT</w:t>
      </w:r>
      <w:r w:rsidR="009C469D">
        <w:rPr>
          <w:sz w:val="24"/>
          <w:szCs w:val="24"/>
        </w:rPr>
        <w:t>).  Ant</w:t>
      </w:r>
      <w:r w:rsidR="00BE0925">
        <w:rPr>
          <w:sz w:val="24"/>
          <w:szCs w:val="24"/>
        </w:rPr>
        <w:t>ibiotics have yet to be given</w:t>
      </w:r>
      <w:r w:rsidR="00710321">
        <w:rPr>
          <w:b/>
          <w:sz w:val="24"/>
          <w:szCs w:val="24"/>
        </w:rPr>
        <w:t>.</w:t>
      </w:r>
      <w:r w:rsidR="00BE0925">
        <w:rPr>
          <w:b/>
          <w:sz w:val="24"/>
          <w:szCs w:val="24"/>
        </w:rPr>
        <w:t xml:space="preserve"> </w:t>
      </w:r>
    </w:p>
    <w:p w14:paraId="3D432885" w14:textId="77777777" w:rsidR="00BE0925" w:rsidRDefault="00BE0925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5AB57EFF" w14:textId="6AD0C778" w:rsidR="009C469D" w:rsidRDefault="00BE0925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confederate anesthesiologist has to quickly run to the ED to attend to his sick mother. The surgeon now requests </w:t>
      </w:r>
      <w:r w:rsidR="00980029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hot seat anesthesiologist </w:t>
      </w:r>
      <w:r w:rsidR="00980029">
        <w:rPr>
          <w:sz w:val="24"/>
          <w:szCs w:val="24"/>
        </w:rPr>
        <w:t xml:space="preserve">perform a </w:t>
      </w:r>
      <w:r>
        <w:rPr>
          <w:sz w:val="24"/>
          <w:szCs w:val="24"/>
        </w:rPr>
        <w:t>caudal block. With</w:t>
      </w:r>
      <w:r w:rsidR="00980029">
        <w:rPr>
          <w:sz w:val="24"/>
          <w:szCs w:val="24"/>
        </w:rPr>
        <w:t>in</w:t>
      </w:r>
      <w:r>
        <w:rPr>
          <w:sz w:val="24"/>
          <w:szCs w:val="24"/>
        </w:rPr>
        <w:t xml:space="preserve"> seconds after the confederate anesthesiologist leaves, </w:t>
      </w:r>
      <w:r w:rsidR="00980029">
        <w:rPr>
          <w:sz w:val="24"/>
          <w:szCs w:val="24"/>
        </w:rPr>
        <w:t xml:space="preserve">the child develops tachycardia and </w:t>
      </w:r>
      <w:r>
        <w:rPr>
          <w:sz w:val="24"/>
          <w:szCs w:val="24"/>
        </w:rPr>
        <w:t>increase</w:t>
      </w:r>
      <w:r w:rsidR="00980029">
        <w:rPr>
          <w:sz w:val="24"/>
          <w:szCs w:val="24"/>
        </w:rPr>
        <w:t>d</w:t>
      </w:r>
      <w:r>
        <w:rPr>
          <w:sz w:val="24"/>
          <w:szCs w:val="24"/>
        </w:rPr>
        <w:t xml:space="preserve"> peak inspiratory pressures. T</w:t>
      </w:r>
      <w:r w:rsidR="00980029">
        <w:rPr>
          <w:sz w:val="24"/>
          <w:szCs w:val="24"/>
        </w:rPr>
        <w:t xml:space="preserve">he </w:t>
      </w:r>
      <w:r>
        <w:rPr>
          <w:sz w:val="24"/>
          <w:szCs w:val="24"/>
        </w:rPr>
        <w:t>BP decreases significantly.</w:t>
      </w:r>
      <w:r w:rsidR="00FB6144">
        <w:rPr>
          <w:sz w:val="24"/>
          <w:szCs w:val="24"/>
        </w:rPr>
        <w:t xml:space="preserve"> The scenario progresses to desaturation, severe hypotension and finally PEA.</w:t>
      </w:r>
    </w:p>
    <w:p w14:paraId="566748CF" w14:textId="77777777" w:rsidR="00BE0925" w:rsidRDefault="00BE0925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5361229C" w14:textId="74C60A56" w:rsidR="00BE0925" w:rsidRDefault="00600386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The surgeon asks, “W</w:t>
      </w:r>
      <w:r w:rsidR="00BE0925">
        <w:rPr>
          <w:sz w:val="24"/>
          <w:szCs w:val="24"/>
        </w:rPr>
        <w:t>hat is going on</w:t>
      </w:r>
      <w:r w:rsidR="00980029">
        <w:rPr>
          <w:sz w:val="24"/>
          <w:szCs w:val="24"/>
        </w:rPr>
        <w:t>?</w:t>
      </w:r>
      <w:proofErr w:type="gramStart"/>
      <w:r w:rsidR="00BE0925">
        <w:rPr>
          <w:sz w:val="24"/>
          <w:szCs w:val="24"/>
        </w:rPr>
        <w:t>”.</w:t>
      </w:r>
      <w:proofErr w:type="gramEnd"/>
      <w:r w:rsidR="00BE0925">
        <w:rPr>
          <w:sz w:val="24"/>
          <w:szCs w:val="24"/>
        </w:rPr>
        <w:t xml:space="preserve"> The hot seat anesthesiologist must think of the differential diagnosis, </w:t>
      </w:r>
      <w:r w:rsidR="00FB6144">
        <w:rPr>
          <w:sz w:val="24"/>
          <w:szCs w:val="24"/>
        </w:rPr>
        <w:t>auscultate</w:t>
      </w:r>
      <w:r w:rsidR="00BE0925">
        <w:rPr>
          <w:sz w:val="24"/>
          <w:szCs w:val="24"/>
        </w:rPr>
        <w:t xml:space="preserve"> for bronchospasm, look for any </w:t>
      </w:r>
      <w:r w:rsidR="005D4E73">
        <w:rPr>
          <w:sz w:val="24"/>
          <w:szCs w:val="24"/>
        </w:rPr>
        <w:t>displacement</w:t>
      </w:r>
      <w:r w:rsidR="00BE0925">
        <w:rPr>
          <w:sz w:val="24"/>
          <w:szCs w:val="24"/>
        </w:rPr>
        <w:t xml:space="preserve"> or obstruction of ETT and consider anaphylaxis. If the hot seat anesthesiologist is struggling to identify the cause, the circulating nurse notes </w:t>
      </w:r>
      <w:r w:rsidR="00980029">
        <w:rPr>
          <w:sz w:val="24"/>
          <w:szCs w:val="24"/>
        </w:rPr>
        <w:t xml:space="preserve">the </w:t>
      </w:r>
      <w:r w:rsidR="00BE0925">
        <w:rPr>
          <w:sz w:val="24"/>
          <w:szCs w:val="24"/>
        </w:rPr>
        <w:t xml:space="preserve">rash on </w:t>
      </w:r>
      <w:r w:rsidR="00980029">
        <w:rPr>
          <w:sz w:val="24"/>
          <w:szCs w:val="24"/>
        </w:rPr>
        <w:t>the patient’s body.</w:t>
      </w:r>
    </w:p>
    <w:p w14:paraId="4A40FC7E" w14:textId="46521784" w:rsidR="005D4E73" w:rsidRDefault="005D4E73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surgeon tries to distract the anesthesiologist by telling </w:t>
      </w:r>
      <w:r w:rsidR="00980029">
        <w:rPr>
          <w:sz w:val="24"/>
          <w:szCs w:val="24"/>
        </w:rPr>
        <w:t>him</w:t>
      </w:r>
      <w:r>
        <w:rPr>
          <w:sz w:val="24"/>
          <w:szCs w:val="24"/>
        </w:rPr>
        <w:t xml:space="preserve"> to </w:t>
      </w:r>
      <w:r w:rsidR="00980029">
        <w:rPr>
          <w:sz w:val="24"/>
          <w:szCs w:val="24"/>
        </w:rPr>
        <w:t>“</w:t>
      </w:r>
      <w:r>
        <w:rPr>
          <w:sz w:val="24"/>
          <w:szCs w:val="24"/>
        </w:rPr>
        <w:t>hurry up because he has a long list of patients for the day</w:t>
      </w:r>
      <w:r w:rsidR="00600386">
        <w:rPr>
          <w:sz w:val="24"/>
          <w:szCs w:val="24"/>
        </w:rPr>
        <w:t>.</w:t>
      </w:r>
      <w:r w:rsidR="00980029">
        <w:rPr>
          <w:sz w:val="24"/>
          <w:szCs w:val="24"/>
        </w:rPr>
        <w:t>”</w:t>
      </w:r>
    </w:p>
    <w:p w14:paraId="20893E2B" w14:textId="77777777" w:rsidR="005D4E73" w:rsidRDefault="005D4E73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4C22B2D0" w14:textId="37B0D0B8" w:rsidR="005D4E73" w:rsidRDefault="005D4E73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The scenario may progress to pulseless electrical activity (PEA) and resuscitation based on PALS guidelines.</w:t>
      </w:r>
    </w:p>
    <w:p w14:paraId="4C4D0BEB" w14:textId="77777777" w:rsidR="00F044DF" w:rsidRDefault="00F044DF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42CF1D53" w14:textId="2B935E68" w:rsidR="00F044DF" w:rsidRDefault="003325BC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surgeon asks for possible differential diagnosis. The hot seat anesthesiologist gives differential diagnosis – </w:t>
      </w:r>
      <w:r w:rsidR="00715944">
        <w:rPr>
          <w:sz w:val="24"/>
          <w:szCs w:val="24"/>
        </w:rPr>
        <w:t>e</w:t>
      </w:r>
      <w:r w:rsidR="00600386">
        <w:rPr>
          <w:sz w:val="24"/>
          <w:szCs w:val="24"/>
        </w:rPr>
        <w:t>.</w:t>
      </w:r>
      <w:r w:rsidR="00715944">
        <w:rPr>
          <w:sz w:val="24"/>
          <w:szCs w:val="24"/>
        </w:rPr>
        <w:t>g</w:t>
      </w:r>
      <w:r w:rsidR="00600386">
        <w:rPr>
          <w:sz w:val="24"/>
          <w:szCs w:val="24"/>
        </w:rPr>
        <w:t>.,</w:t>
      </w:r>
      <w:r w:rsidR="007159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pneumothorax, equipment issue, bronchospasm, </w:t>
      </w:r>
      <w:proofErr w:type="spellStart"/>
      <w:r>
        <w:rPr>
          <w:sz w:val="24"/>
          <w:szCs w:val="24"/>
        </w:rPr>
        <w:t>malpositioned</w:t>
      </w:r>
      <w:proofErr w:type="spellEnd"/>
      <w:r>
        <w:rPr>
          <w:sz w:val="24"/>
          <w:szCs w:val="24"/>
        </w:rPr>
        <w:t xml:space="preserve"> ETT and anaphylaxis. </w:t>
      </w:r>
      <w:r w:rsidR="00F044DF">
        <w:rPr>
          <w:sz w:val="24"/>
          <w:szCs w:val="24"/>
        </w:rPr>
        <w:t>The surgeon asks about further management – e</w:t>
      </w:r>
      <w:r w:rsidR="00600386">
        <w:rPr>
          <w:sz w:val="24"/>
          <w:szCs w:val="24"/>
        </w:rPr>
        <w:t>.</w:t>
      </w:r>
      <w:r w:rsidR="00F044DF">
        <w:rPr>
          <w:sz w:val="24"/>
          <w:szCs w:val="24"/>
        </w:rPr>
        <w:t>g</w:t>
      </w:r>
      <w:r w:rsidR="00600386">
        <w:rPr>
          <w:sz w:val="24"/>
          <w:szCs w:val="24"/>
        </w:rPr>
        <w:t>.,</w:t>
      </w:r>
      <w:r w:rsidR="00F044DF">
        <w:rPr>
          <w:sz w:val="24"/>
          <w:szCs w:val="24"/>
        </w:rPr>
        <w:t xml:space="preserve"> fu</w:t>
      </w:r>
      <w:r w:rsidR="00600386">
        <w:rPr>
          <w:sz w:val="24"/>
          <w:szCs w:val="24"/>
        </w:rPr>
        <w:t>r</w:t>
      </w:r>
      <w:r w:rsidR="00F044DF">
        <w:rPr>
          <w:sz w:val="24"/>
          <w:szCs w:val="24"/>
        </w:rPr>
        <w:t xml:space="preserve">ther work-up, speak with family, need for </w:t>
      </w:r>
      <w:r w:rsidR="00600386">
        <w:rPr>
          <w:sz w:val="24"/>
          <w:szCs w:val="24"/>
        </w:rPr>
        <w:t xml:space="preserve">transfer to the </w:t>
      </w:r>
      <w:r w:rsidR="00F044DF">
        <w:rPr>
          <w:sz w:val="24"/>
          <w:szCs w:val="24"/>
        </w:rPr>
        <w:t xml:space="preserve">PICU, whether </w:t>
      </w:r>
      <w:r w:rsidR="00600386">
        <w:rPr>
          <w:sz w:val="24"/>
          <w:szCs w:val="24"/>
        </w:rPr>
        <w:t xml:space="preserve">to </w:t>
      </w:r>
      <w:r w:rsidR="00F044DF">
        <w:rPr>
          <w:sz w:val="24"/>
          <w:szCs w:val="24"/>
        </w:rPr>
        <w:t xml:space="preserve">continue with </w:t>
      </w:r>
      <w:r w:rsidR="00600386">
        <w:rPr>
          <w:sz w:val="24"/>
          <w:szCs w:val="24"/>
        </w:rPr>
        <w:t xml:space="preserve">the </w:t>
      </w:r>
      <w:r w:rsidR="00F044DF">
        <w:rPr>
          <w:sz w:val="24"/>
          <w:szCs w:val="24"/>
        </w:rPr>
        <w:t xml:space="preserve">procedure and </w:t>
      </w:r>
      <w:r w:rsidR="00600386">
        <w:rPr>
          <w:sz w:val="24"/>
          <w:szCs w:val="24"/>
        </w:rPr>
        <w:t>required</w:t>
      </w:r>
      <w:r w:rsidR="00F044DF">
        <w:rPr>
          <w:sz w:val="24"/>
          <w:szCs w:val="24"/>
        </w:rPr>
        <w:t xml:space="preserve"> lab work up</w:t>
      </w:r>
      <w:r w:rsidR="00600386">
        <w:rPr>
          <w:sz w:val="24"/>
          <w:szCs w:val="24"/>
        </w:rPr>
        <w:t xml:space="preserve"> (e.g.,</w:t>
      </w:r>
      <w:r w:rsidR="00DF7BDF">
        <w:rPr>
          <w:sz w:val="24"/>
          <w:szCs w:val="24"/>
        </w:rPr>
        <w:t xml:space="preserve"> serum </w:t>
      </w:r>
      <w:proofErr w:type="spellStart"/>
      <w:r w:rsidR="00DF7BDF">
        <w:rPr>
          <w:sz w:val="24"/>
          <w:szCs w:val="24"/>
        </w:rPr>
        <w:t>tryptase</w:t>
      </w:r>
      <w:proofErr w:type="spellEnd"/>
      <w:r w:rsidR="00600386">
        <w:rPr>
          <w:sz w:val="24"/>
          <w:szCs w:val="24"/>
        </w:rPr>
        <w:t>,</w:t>
      </w:r>
      <w:r w:rsidR="00DF7BDF">
        <w:rPr>
          <w:sz w:val="24"/>
          <w:szCs w:val="24"/>
        </w:rPr>
        <w:t xml:space="preserve"> etc</w:t>
      </w:r>
      <w:r w:rsidR="00F044DF">
        <w:rPr>
          <w:sz w:val="24"/>
          <w:szCs w:val="24"/>
        </w:rPr>
        <w:t>.</w:t>
      </w:r>
      <w:r w:rsidR="00600386">
        <w:rPr>
          <w:sz w:val="24"/>
          <w:szCs w:val="24"/>
        </w:rPr>
        <w:t>).</w:t>
      </w:r>
    </w:p>
    <w:p w14:paraId="65884BDF" w14:textId="77777777" w:rsidR="00DF7BDF" w:rsidRDefault="00DF7BDF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4A9A4C18" w14:textId="77777777" w:rsidR="009C469D" w:rsidRDefault="009C469D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25191627" w14:textId="77777777" w:rsidR="009C469D" w:rsidRDefault="009C469D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46BB53D4" w14:textId="77777777" w:rsidR="009C469D" w:rsidRPr="00BE0925" w:rsidRDefault="009C469D" w:rsidP="00BE092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B8BD90A" w14:textId="77777777" w:rsidR="009C469D" w:rsidRDefault="009C469D" w:rsidP="009C469D"/>
    <w:p w14:paraId="5F12131F" w14:textId="74E599D4" w:rsidR="00D56B32" w:rsidRDefault="00A0369A" w:rsidP="00D56B32">
      <w:r>
        <w:t xml:space="preserve"> Expected Interventions from </w:t>
      </w:r>
      <w:r w:rsidR="00D56B32">
        <w:t>the Participants:</w:t>
      </w:r>
    </w:p>
    <w:p w14:paraId="537478D5" w14:textId="77777777" w:rsidR="009C469D" w:rsidRDefault="009C469D" w:rsidP="00D56B32"/>
    <w:p w14:paraId="2BC351F5" w14:textId="4847457D" w:rsidR="009C469D" w:rsidRDefault="009C469D" w:rsidP="009C469D">
      <w:r>
        <w:t xml:space="preserve">Call for help, crash cart, secure the airway and adequately </w:t>
      </w:r>
      <w:r w:rsidR="0083750D">
        <w:t>ventilate</w:t>
      </w:r>
      <w:r>
        <w:t xml:space="preserve"> initiation of PALS, formulation of differential, </w:t>
      </w:r>
      <w:r w:rsidR="005D4E73">
        <w:t xml:space="preserve">treatment with intravenous fluids, and epinephrine as primary management. </w:t>
      </w:r>
      <w:proofErr w:type="gramStart"/>
      <w:r w:rsidR="005D4E73">
        <w:t xml:space="preserve">Secondary management with steroids and </w:t>
      </w:r>
      <w:r w:rsidR="00980029">
        <w:t>anti-histamines</w:t>
      </w:r>
      <w:r w:rsidR="005D4E73">
        <w:t>.</w:t>
      </w:r>
      <w:proofErr w:type="gramEnd"/>
      <w:r w:rsidR="005D4E73">
        <w:t xml:space="preserve"> </w:t>
      </w:r>
    </w:p>
    <w:p w14:paraId="7F2BDCCC" w14:textId="77777777" w:rsidR="009C469D" w:rsidRDefault="009C469D" w:rsidP="00D56B32"/>
    <w:p w14:paraId="4EA2E9C2" w14:textId="4B918889" w:rsidR="00D56B32" w:rsidRPr="00600A09" w:rsidRDefault="00D56B32" w:rsidP="00D56B32">
      <w:pPr>
        <w:rPr>
          <w:b/>
        </w:rPr>
      </w:pPr>
      <w:r w:rsidRPr="00600A09">
        <w:rPr>
          <w:b/>
        </w:rPr>
        <w:t xml:space="preserve"> Expected Endpoint of the Scenario:</w:t>
      </w:r>
    </w:p>
    <w:p w14:paraId="5AEEA745" w14:textId="77777777" w:rsidR="009C469D" w:rsidRDefault="009C469D" w:rsidP="00D56B32"/>
    <w:p w14:paraId="1093DC35" w14:textId="09E3AEAB" w:rsidR="009C469D" w:rsidRDefault="009C469D" w:rsidP="00D56B32">
      <w:r>
        <w:t xml:space="preserve">Recognition and treatment of </w:t>
      </w:r>
      <w:r w:rsidR="005D4E73">
        <w:t xml:space="preserve">ANAPHYLAXIS or </w:t>
      </w:r>
      <w:r>
        <w:t>patient deterioration</w:t>
      </w:r>
    </w:p>
    <w:p w14:paraId="1373A470" w14:textId="77777777" w:rsidR="00D56B32" w:rsidRDefault="00D56B32" w:rsidP="00D56B32">
      <w:r>
        <w:t xml:space="preserve"> </w:t>
      </w:r>
    </w:p>
    <w:p w14:paraId="56782597" w14:textId="1543F258" w:rsidR="00D56B32" w:rsidRPr="00600A09" w:rsidRDefault="00D56B32" w:rsidP="00D56B32">
      <w:pPr>
        <w:rPr>
          <w:b/>
        </w:rPr>
      </w:pPr>
      <w:r w:rsidRPr="00600A09">
        <w:rPr>
          <w:b/>
        </w:rPr>
        <w:t xml:space="preserve"> Distracters within Scenario:</w:t>
      </w:r>
    </w:p>
    <w:p w14:paraId="5A4707F1" w14:textId="77777777" w:rsidR="009C469D" w:rsidRDefault="009C469D" w:rsidP="00D56B32"/>
    <w:p w14:paraId="72088C94" w14:textId="77777777" w:rsidR="009C469D" w:rsidRDefault="009C469D" w:rsidP="00D56B32">
      <w:r>
        <w:t>Attending surgeon frequently interjecting/distracting the anesthesiologists</w:t>
      </w:r>
    </w:p>
    <w:p w14:paraId="4D05F669" w14:textId="77777777" w:rsidR="00D56B32" w:rsidRDefault="00D56B32" w:rsidP="00D56B32">
      <w:r>
        <w:t xml:space="preserve"> </w:t>
      </w:r>
    </w:p>
    <w:p w14:paraId="78CB02AB" w14:textId="77777777" w:rsidR="00D56B32" w:rsidRDefault="00D56B32" w:rsidP="00D56B32">
      <w:r>
        <w:t xml:space="preserve"> </w:t>
      </w:r>
      <w:r>
        <w:tab/>
        <w:t>Optional Challenges for Higher Level Learners:</w:t>
      </w:r>
    </w:p>
    <w:p w14:paraId="1F3242E0" w14:textId="77777777" w:rsidR="009C469D" w:rsidRDefault="009C469D" w:rsidP="00D56B32"/>
    <w:p w14:paraId="73619B89" w14:textId="33291615" w:rsidR="00D56B32" w:rsidRDefault="009C469D" w:rsidP="00D56B32">
      <w:r>
        <w:t xml:space="preserve">If </w:t>
      </w:r>
      <w:r w:rsidR="005D4E73">
        <w:t>ANAPHYLAXIS</w:t>
      </w:r>
      <w:r>
        <w:t xml:space="preserve"> is recognized and treated early, can prompt the learners to deal with </w:t>
      </w:r>
      <w:r w:rsidR="005D4E73">
        <w:t xml:space="preserve">PEA, </w:t>
      </w:r>
      <w:r>
        <w:t>further management issues: disposition</w:t>
      </w:r>
      <w:r w:rsidR="00DC10E3">
        <w:t>, to remain intuba</w:t>
      </w:r>
      <w:r w:rsidR="005D4E73">
        <w:t>ted or not, should surgery be continued</w:t>
      </w:r>
    </w:p>
    <w:p w14:paraId="0298BF60" w14:textId="77777777" w:rsidR="00D56B32" w:rsidRDefault="00D56B32" w:rsidP="00D56B32">
      <w:r>
        <w:t xml:space="preserve"> </w:t>
      </w:r>
    </w:p>
    <w:p w14:paraId="38F268DE" w14:textId="314A079E" w:rsidR="00DC10E3" w:rsidRDefault="00D56B32" w:rsidP="00D56B32">
      <w:r>
        <w:t xml:space="preserve"> Roles of Participants/Trainees:</w:t>
      </w:r>
      <w:r w:rsidR="00DC10E3">
        <w:t xml:space="preserve">  </w:t>
      </w:r>
    </w:p>
    <w:p w14:paraId="46ADDFD2" w14:textId="77777777" w:rsidR="00DC10E3" w:rsidRDefault="00DC10E3" w:rsidP="00D56B32"/>
    <w:p w14:paraId="17705D99" w14:textId="17506453" w:rsidR="00DC10E3" w:rsidRDefault="00BC044F" w:rsidP="00D56B32">
      <w:r>
        <w:t>The learner</w:t>
      </w:r>
      <w:r w:rsidR="00DC10E3">
        <w:t xml:space="preserve"> receiving </w:t>
      </w:r>
      <w:r>
        <w:t xml:space="preserve">the </w:t>
      </w:r>
      <w:r w:rsidR="00DC10E3">
        <w:t xml:space="preserve">handoff will be in the </w:t>
      </w:r>
      <w:r w:rsidR="00391F96">
        <w:t>hot seat</w:t>
      </w:r>
      <w:r w:rsidR="00AE46DD">
        <w:t>.  When he/she calls for help, 1</w:t>
      </w:r>
      <w:r>
        <w:t xml:space="preserve"> other learner </w:t>
      </w:r>
      <w:r w:rsidR="00DC10E3">
        <w:t xml:space="preserve">will be called upon to assist.  </w:t>
      </w:r>
    </w:p>
    <w:p w14:paraId="47D6CE06" w14:textId="77777777" w:rsidR="008F1E85" w:rsidRDefault="00D56B32" w:rsidP="00D56B32">
      <w:r>
        <w:t xml:space="preserve"> </w:t>
      </w:r>
    </w:p>
    <w:p w14:paraId="01947E6F" w14:textId="4F99787A" w:rsidR="00D56B32" w:rsidRDefault="00D56B32" w:rsidP="00D56B32">
      <w:r>
        <w:t>Roles of Confederates (if applicable):</w:t>
      </w:r>
      <w:r w:rsidR="00031A2B">
        <w:t xml:space="preserve"> Leav</w:t>
      </w:r>
      <w:r w:rsidR="008F1E85">
        <w:t>e the room after a hurried sign-</w:t>
      </w:r>
      <w:proofErr w:type="gramStart"/>
      <w:r w:rsidR="00031A2B">
        <w:t>out</w:t>
      </w:r>
      <w:proofErr w:type="gramEnd"/>
      <w:r w:rsidR="00031A2B">
        <w:t xml:space="preserve"> as his mother is sick in </w:t>
      </w:r>
      <w:r w:rsidR="008F1E85">
        <w:t>the ED</w:t>
      </w:r>
      <w:r w:rsidR="00600386">
        <w:t>.</w:t>
      </w:r>
    </w:p>
    <w:p w14:paraId="38C31428" w14:textId="77777777" w:rsidR="00DC10E3" w:rsidRDefault="00DC10E3" w:rsidP="00D56B32"/>
    <w:p w14:paraId="2EE92657" w14:textId="165383BE" w:rsidR="00DC10E3" w:rsidRDefault="00600386" w:rsidP="00D56B32">
      <w:r>
        <w:t xml:space="preserve">Attending surgeon: His or </w:t>
      </w:r>
      <w:r w:rsidR="00DC10E3">
        <w:t xml:space="preserve">her role is to be disruptive and </w:t>
      </w:r>
      <w:r>
        <w:t>distract the learner</w:t>
      </w:r>
      <w:r w:rsidR="00DC10E3">
        <w:t xml:space="preserve"> from focusing on the patient</w:t>
      </w:r>
    </w:p>
    <w:p w14:paraId="41709473" w14:textId="77777777" w:rsidR="00DC10E3" w:rsidRDefault="00DC10E3" w:rsidP="00D56B32"/>
    <w:p w14:paraId="16FBC623" w14:textId="3B0ECC3C" w:rsidR="00DC10E3" w:rsidRDefault="00DC10E3" w:rsidP="00D56B32">
      <w:r>
        <w:t>Circulating nurse: assist in calling for help, getting the crash cart</w:t>
      </w:r>
      <w:r w:rsidR="00391F96">
        <w:t>, forcing</w:t>
      </w:r>
      <w:r>
        <w:t xml:space="preserve"> the learners to be specific in their requests</w:t>
      </w:r>
    </w:p>
    <w:p w14:paraId="53ECF5B2" w14:textId="77777777" w:rsidR="00D56B32" w:rsidRDefault="00D56B32" w:rsidP="00D56B32">
      <w:r>
        <w:t xml:space="preserve"> </w:t>
      </w:r>
    </w:p>
    <w:p w14:paraId="449A845B" w14:textId="77777777" w:rsidR="00D56B32" w:rsidRDefault="00D56B32" w:rsidP="00D56B32">
      <w:r>
        <w:t xml:space="preserve"> </w:t>
      </w:r>
      <w:r>
        <w:tab/>
        <w:t>Debriefing Points:</w:t>
      </w:r>
      <w:r w:rsidR="00DC10E3">
        <w:t xml:space="preserve"> As above</w:t>
      </w:r>
    </w:p>
    <w:p w14:paraId="79FBBB05" w14:textId="1DDAEB18" w:rsidR="00DF2354" w:rsidRDefault="00D56B32" w:rsidP="00DD22DA">
      <w:r>
        <w:t xml:space="preserve"> </w:t>
      </w:r>
    </w:p>
    <w:p w14:paraId="49FC9E0D" w14:textId="77777777" w:rsidR="00D56B32" w:rsidRDefault="00D56B32" w:rsidP="00D56B32"/>
    <w:p w14:paraId="7B483029" w14:textId="77777777" w:rsidR="00D56B32" w:rsidRPr="00D56B32" w:rsidRDefault="00D56B32" w:rsidP="00D56B32">
      <w:pPr>
        <w:rPr>
          <w:b/>
          <w:u w:val="single"/>
        </w:rPr>
      </w:pPr>
      <w:r>
        <w:t xml:space="preserve"> </w:t>
      </w:r>
      <w:r w:rsidRPr="00D56B32">
        <w:rPr>
          <w:b/>
          <w:u w:val="single"/>
        </w:rPr>
        <w:t>Scenario Support Materials, Pre and Post Tests, Evaluations</w:t>
      </w:r>
    </w:p>
    <w:p w14:paraId="1B6C9420" w14:textId="77777777" w:rsidR="00D56B32" w:rsidRDefault="00D56B32" w:rsidP="00D56B32">
      <w:r>
        <w:t xml:space="preserve"> </w:t>
      </w:r>
    </w:p>
    <w:p w14:paraId="6895C172" w14:textId="77777777" w:rsidR="000C48FA" w:rsidRDefault="000C48FA" w:rsidP="00D56B32"/>
    <w:p w14:paraId="542B1B50" w14:textId="77777777" w:rsidR="000C48FA" w:rsidRDefault="000C48FA" w:rsidP="00D56B32"/>
    <w:p w14:paraId="2F7B5396" w14:textId="6B77C553" w:rsidR="00D56B32" w:rsidRPr="00DD2ECB" w:rsidRDefault="00D56B32" w:rsidP="00D56B32">
      <w:r>
        <w:t xml:space="preserve"> </w:t>
      </w:r>
      <w:r w:rsidRPr="00DD2ECB">
        <w:t>Reference List:</w:t>
      </w:r>
    </w:p>
    <w:p w14:paraId="294271AB" w14:textId="77777777" w:rsidR="00DC10E3" w:rsidRPr="00DD2ECB" w:rsidRDefault="00DC10E3" w:rsidP="00D56B32"/>
    <w:p w14:paraId="6A257FEC" w14:textId="283BFCFF" w:rsidR="00DD2ECB" w:rsidRPr="00DD2ECB" w:rsidRDefault="00DC10E3" w:rsidP="00DD2ECB">
      <w:pPr>
        <w:shd w:val="clear" w:color="auto" w:fill="FFFFFF"/>
        <w:rPr>
          <w:rFonts w:ascii="Times New Roman" w:eastAsia="Times New Roman" w:hAnsi="Times New Roman" w:cs="Times New Roman"/>
        </w:rPr>
      </w:pPr>
      <w:r w:rsidRPr="00DD2ECB">
        <w:lastRenderedPageBreak/>
        <w:t>1</w:t>
      </w:r>
      <w:r w:rsidRPr="00DD2ECB">
        <w:rPr>
          <w:rFonts w:cs="Times New Roman"/>
        </w:rPr>
        <w:t xml:space="preserve">.  </w:t>
      </w:r>
      <w:hyperlink r:id="rId7" w:history="1">
        <w:r w:rsidR="00DD2ECB" w:rsidRPr="00DD2ECB">
          <w:rPr>
            <w:rFonts w:eastAsia="Times New Roman" w:cs="Times New Roman"/>
          </w:rPr>
          <w:t>Kemp HI</w:t>
        </w:r>
      </w:hyperlink>
      <w:r w:rsidR="00DD2ECB" w:rsidRPr="00DD2ECB">
        <w:rPr>
          <w:rFonts w:eastAsia="Times New Roman" w:cs="Times New Roman"/>
        </w:rPr>
        <w:t>, </w:t>
      </w:r>
      <w:hyperlink r:id="rId8" w:history="1">
        <w:r w:rsidR="00DD2ECB" w:rsidRPr="00DD2ECB">
          <w:rPr>
            <w:rFonts w:eastAsia="Times New Roman" w:cs="Times New Roman"/>
          </w:rPr>
          <w:t>Cook TM</w:t>
        </w:r>
      </w:hyperlink>
      <w:r w:rsidR="00DD2ECB" w:rsidRPr="00DD2ECB">
        <w:rPr>
          <w:rFonts w:eastAsia="Times New Roman" w:cs="Times New Roman"/>
        </w:rPr>
        <w:t>, </w:t>
      </w:r>
      <w:hyperlink r:id="rId9" w:history="1">
        <w:r w:rsidR="00DD2ECB" w:rsidRPr="00DD2ECB">
          <w:rPr>
            <w:rFonts w:eastAsia="Times New Roman" w:cs="Times New Roman"/>
          </w:rPr>
          <w:t>Thomas M</w:t>
        </w:r>
      </w:hyperlink>
      <w:r w:rsidR="00DD2ECB" w:rsidRPr="00DD2ECB">
        <w:rPr>
          <w:rFonts w:eastAsia="Times New Roman" w:cs="Times New Roman"/>
        </w:rPr>
        <w:t>, </w:t>
      </w:r>
      <w:hyperlink r:id="rId10" w:history="1">
        <w:r w:rsidR="00DD2ECB" w:rsidRPr="00DD2ECB">
          <w:rPr>
            <w:rFonts w:eastAsia="Times New Roman" w:cs="Times New Roman"/>
          </w:rPr>
          <w:t>Harper NJN</w:t>
        </w:r>
      </w:hyperlink>
      <w:r w:rsidR="00DD2ECB" w:rsidRPr="00DD2ECB">
        <w:rPr>
          <w:rFonts w:eastAsia="Times New Roman" w:cs="Times New Roman"/>
          <w:vertAlign w:val="superscript"/>
        </w:rPr>
        <w:t xml:space="preserve">. </w:t>
      </w:r>
      <w:r w:rsidR="00DD2ECB" w:rsidRPr="00DD2ECB">
        <w:rPr>
          <w:rFonts w:eastAsia="Times New Roman" w:cs="Arial"/>
          <w:bCs/>
          <w:color w:val="000000"/>
          <w:kern w:val="36"/>
        </w:rPr>
        <w:t xml:space="preserve">UK </w:t>
      </w:r>
      <w:proofErr w:type="spellStart"/>
      <w:r w:rsidR="00DD2ECB" w:rsidRPr="00DD2ECB">
        <w:rPr>
          <w:rFonts w:eastAsia="Times New Roman" w:cs="Arial"/>
          <w:bCs/>
          <w:color w:val="000000"/>
          <w:kern w:val="36"/>
        </w:rPr>
        <w:t>anaesthetists'</w:t>
      </w:r>
      <w:proofErr w:type="spellEnd"/>
      <w:r w:rsidR="00DD2ECB" w:rsidRPr="00DD2ECB">
        <w:rPr>
          <w:rFonts w:eastAsia="Times New Roman" w:cs="Arial"/>
          <w:bCs/>
          <w:color w:val="000000"/>
          <w:kern w:val="36"/>
        </w:rPr>
        <w:t xml:space="preserve"> perspectives and experiences of severe perioperative anaphylaxis: NAP6 baseline survey</w:t>
      </w:r>
      <w:r w:rsidR="00DD2ECB" w:rsidRPr="00DD2ECB">
        <w:rPr>
          <w:rFonts w:eastAsia="Times New Roman" w:cs="Times New Roman"/>
        </w:rPr>
        <w:t xml:space="preserve"> </w:t>
      </w:r>
      <w:hyperlink r:id="rId11" w:tooltip="British journal of anaesthesia." w:history="1">
        <w:r w:rsidR="00DD2ECB" w:rsidRPr="00DD2ECB">
          <w:rPr>
            <w:rFonts w:eastAsia="Times New Roman" w:cs="Times New Roman"/>
          </w:rPr>
          <w:t xml:space="preserve">Br J </w:t>
        </w:r>
        <w:proofErr w:type="spellStart"/>
        <w:r w:rsidR="00DD2ECB" w:rsidRPr="00DD2ECB">
          <w:rPr>
            <w:rFonts w:eastAsia="Times New Roman" w:cs="Times New Roman"/>
          </w:rPr>
          <w:t>Anaesth</w:t>
        </w:r>
        <w:proofErr w:type="spellEnd"/>
        <w:r w:rsidR="00DD2ECB" w:rsidRPr="00DD2ECB">
          <w:rPr>
            <w:rFonts w:eastAsia="Times New Roman" w:cs="Times New Roman"/>
          </w:rPr>
          <w:t>.</w:t>
        </w:r>
      </w:hyperlink>
      <w:r w:rsidR="00894388">
        <w:rPr>
          <w:rFonts w:eastAsia="Times New Roman" w:cs="Times New Roman"/>
        </w:rPr>
        <w:t xml:space="preserve"> 2017 </w:t>
      </w:r>
      <w:proofErr w:type="spellStart"/>
      <w:r w:rsidR="00DD2ECB" w:rsidRPr="00DD2ECB">
        <w:rPr>
          <w:rFonts w:eastAsia="Times New Roman" w:cs="Times New Roman"/>
        </w:rPr>
        <w:t>doi</w:t>
      </w:r>
      <w:proofErr w:type="spellEnd"/>
      <w:r w:rsidR="00DD2ECB" w:rsidRPr="00DD2ECB">
        <w:rPr>
          <w:rFonts w:eastAsia="Times New Roman" w:cs="Times New Roman"/>
        </w:rPr>
        <w:t>: 10.1093/</w:t>
      </w:r>
      <w:proofErr w:type="spellStart"/>
      <w:r w:rsidR="00DD2ECB" w:rsidRPr="00DD2ECB">
        <w:rPr>
          <w:rFonts w:eastAsia="Times New Roman" w:cs="Times New Roman"/>
        </w:rPr>
        <w:t>bja</w:t>
      </w:r>
      <w:proofErr w:type="spellEnd"/>
      <w:r w:rsidR="00DD2ECB" w:rsidRPr="00DD2ECB">
        <w:rPr>
          <w:rFonts w:eastAsia="Times New Roman" w:cs="Times New Roman"/>
        </w:rPr>
        <w:t>/</w:t>
      </w:r>
      <w:proofErr w:type="spellStart"/>
      <w:r w:rsidR="00DD2ECB" w:rsidRPr="00DD2ECB">
        <w:rPr>
          <w:rFonts w:eastAsia="Times New Roman" w:cs="Times New Roman"/>
        </w:rPr>
        <w:t>aex124</w:t>
      </w:r>
      <w:proofErr w:type="spellEnd"/>
      <w:r w:rsidR="00DD2ECB" w:rsidRPr="00DD2ECB">
        <w:rPr>
          <w:rFonts w:ascii="Times New Roman" w:eastAsia="Times New Roman" w:hAnsi="Times New Roman" w:cs="Times New Roman"/>
        </w:rPr>
        <w:t xml:space="preserve">. </w:t>
      </w:r>
    </w:p>
    <w:p w14:paraId="6D96CD75" w14:textId="5CAAC610" w:rsidR="00DD2ECB" w:rsidRPr="00DD2ECB" w:rsidRDefault="00DD2ECB" w:rsidP="00DD2EC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2CC6057" w14:textId="3FFAA115" w:rsidR="00DD2ECB" w:rsidRPr="00DD2ECB" w:rsidRDefault="00DD2ECB" w:rsidP="00DD2ECB">
      <w:pPr>
        <w:shd w:val="clear" w:color="auto" w:fill="FFFFFF"/>
        <w:spacing w:line="348" w:lineRule="atLeast"/>
        <w:rPr>
          <w:rFonts w:eastAsia="Times New Roman" w:cs="Arial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hyperlink r:id="rId12" w:history="1">
        <w:proofErr w:type="spellStart"/>
        <w:r w:rsidRPr="00DD2ECB">
          <w:rPr>
            <w:rFonts w:eastAsia="Times New Roman" w:cs="Arial"/>
          </w:rPr>
          <w:t>Meng</w:t>
        </w:r>
        <w:proofErr w:type="spellEnd"/>
        <w:r w:rsidRPr="00DD2ECB">
          <w:rPr>
            <w:rFonts w:eastAsia="Times New Roman" w:cs="Arial"/>
          </w:rPr>
          <w:t xml:space="preserve"> J</w:t>
        </w:r>
      </w:hyperlink>
      <w:r w:rsidRPr="00DD2ECB">
        <w:rPr>
          <w:rFonts w:eastAsia="Times New Roman" w:cs="Arial"/>
        </w:rPr>
        <w:t>, </w:t>
      </w:r>
      <w:hyperlink r:id="rId13" w:history="1">
        <w:proofErr w:type="spellStart"/>
        <w:r w:rsidRPr="00DD2ECB">
          <w:rPr>
            <w:rFonts w:eastAsia="Times New Roman" w:cs="Arial"/>
          </w:rPr>
          <w:t>Rotiroti</w:t>
        </w:r>
        <w:proofErr w:type="spellEnd"/>
        <w:r w:rsidRPr="00DD2ECB">
          <w:rPr>
            <w:rFonts w:eastAsia="Times New Roman" w:cs="Arial"/>
          </w:rPr>
          <w:t xml:space="preserve"> G</w:t>
        </w:r>
      </w:hyperlink>
      <w:r w:rsidRPr="00DD2ECB">
        <w:rPr>
          <w:rFonts w:eastAsia="Times New Roman" w:cs="Arial"/>
        </w:rPr>
        <w:t>, </w:t>
      </w:r>
      <w:hyperlink r:id="rId14" w:history="1">
        <w:r w:rsidRPr="00DD2ECB">
          <w:rPr>
            <w:rFonts w:eastAsia="Times New Roman" w:cs="Arial"/>
          </w:rPr>
          <w:t>Burdett E</w:t>
        </w:r>
      </w:hyperlink>
      <w:r w:rsidRPr="00DD2ECB">
        <w:rPr>
          <w:rFonts w:eastAsia="Times New Roman" w:cs="Arial"/>
        </w:rPr>
        <w:t>, </w:t>
      </w:r>
      <w:hyperlink r:id="rId15" w:history="1">
        <w:proofErr w:type="spellStart"/>
        <w:r w:rsidRPr="00DD2ECB">
          <w:rPr>
            <w:rFonts w:eastAsia="Times New Roman" w:cs="Arial"/>
          </w:rPr>
          <w:t>Lukawska</w:t>
        </w:r>
        <w:proofErr w:type="spellEnd"/>
        <w:r w:rsidRPr="00DD2ECB">
          <w:rPr>
            <w:rFonts w:eastAsia="Times New Roman" w:cs="Arial"/>
          </w:rPr>
          <w:t xml:space="preserve"> JJ</w:t>
        </w:r>
      </w:hyperlink>
      <w:r w:rsidRPr="00DD2ECB">
        <w:rPr>
          <w:rFonts w:eastAsia="Times New Roman" w:cs="Arial"/>
          <w:vertAlign w:val="superscript"/>
        </w:rPr>
        <w:t xml:space="preserve">. </w:t>
      </w:r>
      <w:r w:rsidRPr="00DD2ECB">
        <w:rPr>
          <w:rFonts w:eastAsia="Times New Roman" w:cs="Arial"/>
          <w:bCs/>
          <w:kern w:val="36"/>
        </w:rPr>
        <w:t>Anaphylaxis during general </w:t>
      </w:r>
      <w:proofErr w:type="spellStart"/>
      <w:r w:rsidRPr="00DD2ECB">
        <w:rPr>
          <w:rFonts w:eastAsia="Times New Roman" w:cs="Arial"/>
          <w:bCs/>
          <w:kern w:val="36"/>
        </w:rPr>
        <w:t>anaesthesia</w:t>
      </w:r>
      <w:proofErr w:type="spellEnd"/>
      <w:r w:rsidRPr="00DD2ECB">
        <w:rPr>
          <w:rFonts w:eastAsia="Times New Roman" w:cs="Arial"/>
          <w:bCs/>
          <w:kern w:val="36"/>
        </w:rPr>
        <w:t xml:space="preserve">: experience from a drug allergy </w:t>
      </w:r>
      <w:proofErr w:type="spellStart"/>
      <w:r w:rsidRPr="00DD2ECB">
        <w:rPr>
          <w:rFonts w:eastAsia="Times New Roman" w:cs="Arial"/>
          <w:bCs/>
          <w:kern w:val="36"/>
        </w:rPr>
        <w:t>centre</w:t>
      </w:r>
      <w:proofErr w:type="spellEnd"/>
      <w:r w:rsidRPr="00DD2ECB">
        <w:rPr>
          <w:rFonts w:eastAsia="Times New Roman" w:cs="Arial"/>
          <w:bCs/>
          <w:kern w:val="36"/>
        </w:rPr>
        <w:t xml:space="preserve"> in the UK. </w:t>
      </w:r>
      <w:hyperlink r:id="rId16" w:tooltip="Acta anaesthesiologica Scandinavica." w:history="1">
        <w:proofErr w:type="spellStart"/>
        <w:r w:rsidRPr="00DD2ECB">
          <w:rPr>
            <w:rFonts w:eastAsia="Times New Roman" w:cs="Arial"/>
          </w:rPr>
          <w:t>Acta</w:t>
        </w:r>
        <w:proofErr w:type="spellEnd"/>
        <w:r w:rsidRPr="00DD2ECB">
          <w:rPr>
            <w:rFonts w:eastAsia="Times New Roman" w:cs="Arial"/>
          </w:rPr>
          <w:t xml:space="preserve"> </w:t>
        </w:r>
        <w:proofErr w:type="spellStart"/>
        <w:r w:rsidRPr="00DD2ECB">
          <w:rPr>
            <w:rFonts w:eastAsia="Times New Roman" w:cs="Arial"/>
          </w:rPr>
          <w:t>Anaesthesiol</w:t>
        </w:r>
        <w:proofErr w:type="spellEnd"/>
        <w:r w:rsidRPr="00DD2ECB">
          <w:rPr>
            <w:rFonts w:eastAsia="Times New Roman" w:cs="Arial"/>
          </w:rPr>
          <w:t xml:space="preserve"> Scand.</w:t>
        </w:r>
      </w:hyperlink>
      <w:r w:rsidR="00894388">
        <w:rPr>
          <w:rFonts w:eastAsia="Times New Roman" w:cs="Arial"/>
        </w:rPr>
        <w:t> 2017; 61</w:t>
      </w:r>
      <w:r w:rsidRPr="00DD2ECB">
        <w:rPr>
          <w:rFonts w:eastAsia="Times New Roman" w:cs="Arial"/>
        </w:rPr>
        <w:t>(3)</w:t>
      </w:r>
      <w:proofErr w:type="gramStart"/>
      <w:r w:rsidRPr="00DD2ECB">
        <w:rPr>
          <w:rFonts w:eastAsia="Times New Roman" w:cs="Arial"/>
        </w:rPr>
        <w:t>:281</w:t>
      </w:r>
      <w:proofErr w:type="gramEnd"/>
      <w:r w:rsidRPr="00DD2ECB">
        <w:rPr>
          <w:rFonts w:eastAsia="Times New Roman" w:cs="Arial"/>
        </w:rPr>
        <w:t xml:space="preserve">-289. </w:t>
      </w:r>
      <w:proofErr w:type="spellStart"/>
      <w:proofErr w:type="gramStart"/>
      <w:r w:rsidRPr="00DD2ECB">
        <w:rPr>
          <w:rFonts w:eastAsia="Times New Roman" w:cs="Arial"/>
        </w:rPr>
        <w:t>doi</w:t>
      </w:r>
      <w:proofErr w:type="spellEnd"/>
      <w:proofErr w:type="gramEnd"/>
      <w:r w:rsidRPr="00DD2ECB">
        <w:rPr>
          <w:rFonts w:eastAsia="Times New Roman" w:cs="Arial"/>
        </w:rPr>
        <w:t>: 10.1111/</w:t>
      </w:r>
      <w:proofErr w:type="spellStart"/>
      <w:r w:rsidRPr="00DD2ECB">
        <w:rPr>
          <w:rFonts w:eastAsia="Times New Roman" w:cs="Arial"/>
        </w:rPr>
        <w:t>aas.12858</w:t>
      </w:r>
      <w:proofErr w:type="spellEnd"/>
      <w:r w:rsidRPr="00DD2ECB">
        <w:rPr>
          <w:rFonts w:eastAsia="Times New Roman" w:cs="Arial"/>
        </w:rPr>
        <w:t>.</w:t>
      </w:r>
    </w:p>
    <w:p w14:paraId="07AF5C6D" w14:textId="54D4624F" w:rsidR="00DD2ECB" w:rsidRPr="00DD2ECB" w:rsidRDefault="00DD2ECB" w:rsidP="00DD2EC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AD9F010" w14:textId="77777777" w:rsidR="00F044DF" w:rsidRPr="00F044DF" w:rsidRDefault="00F044DF" w:rsidP="00F044DF">
      <w:pPr>
        <w:shd w:val="clear" w:color="auto" w:fill="FFFFFF"/>
        <w:spacing w:line="0" w:lineRule="auto"/>
        <w:rPr>
          <w:rFonts w:ascii="ffb" w:eastAsia="Times New Roman" w:hAnsi="ffb" w:cs="Times New Roman"/>
          <w:color w:val="231F20"/>
          <w:sz w:val="78"/>
          <w:szCs w:val="78"/>
        </w:rPr>
      </w:pPr>
      <w:r>
        <w:rPr>
          <w:rFonts w:ascii="Times" w:hAnsi="Times" w:cs="Times"/>
        </w:rPr>
        <w:t xml:space="preserve">3. </w:t>
      </w:r>
      <w:r w:rsidRPr="00F044DF">
        <w:rPr>
          <w:rFonts w:ascii="ff3" w:eastAsia="Times New Roman" w:hAnsi="ff3" w:cs="Times New Roman"/>
          <w:color w:val="231F20"/>
          <w:sz w:val="78"/>
          <w:szCs w:val="78"/>
        </w:rPr>
        <w:t>2016 John Wiley &amp; Sons Ltd</w:t>
      </w:r>
    </w:p>
    <w:p w14:paraId="15DB9126" w14:textId="77777777" w:rsidR="00F044DF" w:rsidRPr="00F044DF" w:rsidRDefault="00F044DF" w:rsidP="00F044DF">
      <w:pPr>
        <w:shd w:val="clear" w:color="auto" w:fill="FFFFFF"/>
        <w:spacing w:line="0" w:lineRule="auto"/>
        <w:rPr>
          <w:rFonts w:ascii="ff3" w:eastAsia="Times New Roman" w:hAnsi="ff3" w:cs="Times New Roman"/>
          <w:color w:val="231F20"/>
          <w:sz w:val="78"/>
          <w:szCs w:val="78"/>
        </w:rPr>
      </w:pPr>
      <w:r w:rsidRPr="00F044DF">
        <w:rPr>
          <w:rFonts w:ascii="ff3" w:eastAsia="Times New Roman" w:hAnsi="ff3" w:cs="Times New Roman"/>
          <w:color w:val="231F20"/>
          <w:sz w:val="78"/>
          <w:szCs w:val="78"/>
        </w:rPr>
        <w:t xml:space="preserve">Pediatric Anesthesia </w:t>
      </w:r>
      <w:r w:rsidRPr="00F044DF">
        <w:rPr>
          <w:rFonts w:ascii="ff7" w:eastAsia="Times New Roman" w:hAnsi="ff7" w:cs="Times New Roman"/>
          <w:color w:val="231F20"/>
          <w:sz w:val="78"/>
          <w:szCs w:val="78"/>
        </w:rPr>
        <w:t xml:space="preserve">27 </w:t>
      </w:r>
      <w:r w:rsidRPr="00F044DF">
        <w:rPr>
          <w:rFonts w:ascii="ff3" w:eastAsia="Times New Roman" w:hAnsi="ff3" w:cs="Times New Roman"/>
          <w:color w:val="231F20"/>
          <w:sz w:val="78"/>
          <w:szCs w:val="78"/>
        </w:rPr>
        <w:t>(2017) 205–210</w:t>
      </w:r>
    </w:p>
    <w:p w14:paraId="3EB3D254" w14:textId="77777777" w:rsidR="00F044DF" w:rsidRPr="00F044DF" w:rsidRDefault="00F044DF" w:rsidP="00F044DF">
      <w:pPr>
        <w:shd w:val="clear" w:color="auto" w:fill="FFFFFF"/>
        <w:spacing w:line="0" w:lineRule="auto"/>
        <w:rPr>
          <w:rFonts w:ascii="ffb" w:eastAsia="Times New Roman" w:hAnsi="ffb" w:cs="Times New Roman"/>
          <w:color w:val="231F20"/>
          <w:sz w:val="78"/>
          <w:szCs w:val="78"/>
        </w:rPr>
      </w:pPr>
      <w:r w:rsidRPr="00F044DF">
        <w:rPr>
          <w:rFonts w:ascii="ff3" w:eastAsia="Times New Roman" w:hAnsi="ff3" w:cs="Times New Roman"/>
          <w:color w:val="231F20"/>
          <w:sz w:val="78"/>
          <w:szCs w:val="78"/>
        </w:rPr>
        <w:t>2016 John Wiley &amp; Sons Ltd</w:t>
      </w:r>
    </w:p>
    <w:p w14:paraId="1398C599" w14:textId="77777777" w:rsidR="00F044DF" w:rsidRPr="00F044DF" w:rsidRDefault="00F044DF" w:rsidP="00F044DF">
      <w:pPr>
        <w:shd w:val="clear" w:color="auto" w:fill="FFFFFF"/>
        <w:spacing w:line="0" w:lineRule="auto"/>
        <w:rPr>
          <w:rFonts w:ascii="ff3" w:eastAsia="Times New Roman" w:hAnsi="ff3" w:cs="Times New Roman"/>
          <w:color w:val="231F20"/>
          <w:sz w:val="78"/>
          <w:szCs w:val="78"/>
        </w:rPr>
      </w:pPr>
      <w:r w:rsidRPr="00F044DF">
        <w:rPr>
          <w:rFonts w:ascii="ff3" w:eastAsia="Times New Roman" w:hAnsi="ff3" w:cs="Times New Roman"/>
          <w:color w:val="231F20"/>
          <w:sz w:val="78"/>
          <w:szCs w:val="78"/>
        </w:rPr>
        <w:t xml:space="preserve">Pediatric Anesthesia </w:t>
      </w:r>
      <w:r w:rsidRPr="00F044DF">
        <w:rPr>
          <w:rFonts w:ascii="ff7" w:eastAsia="Times New Roman" w:hAnsi="ff7" w:cs="Times New Roman"/>
          <w:color w:val="231F20"/>
          <w:sz w:val="78"/>
          <w:szCs w:val="78"/>
        </w:rPr>
        <w:t xml:space="preserve">27 </w:t>
      </w:r>
      <w:r w:rsidRPr="00F044DF">
        <w:rPr>
          <w:rFonts w:ascii="ff3" w:eastAsia="Times New Roman" w:hAnsi="ff3" w:cs="Times New Roman"/>
          <w:color w:val="231F20"/>
          <w:sz w:val="78"/>
          <w:szCs w:val="78"/>
        </w:rPr>
        <w:t>(2017) 205–210</w:t>
      </w:r>
    </w:p>
    <w:p w14:paraId="7A4A2A6B" w14:textId="08814A28" w:rsidR="00F044DF" w:rsidRPr="00F044DF" w:rsidRDefault="00F044DF" w:rsidP="00F044DF">
      <w:pPr>
        <w:shd w:val="clear" w:color="auto" w:fill="FFFFFF"/>
        <w:spacing w:before="120" w:after="120" w:line="300" w:lineRule="atLeast"/>
        <w:outlineLvl w:val="0"/>
        <w:rPr>
          <w:rFonts w:eastAsia="Times New Roman" w:cs="Arial"/>
          <w:bCs/>
          <w:color w:val="000000"/>
          <w:kern w:val="36"/>
        </w:rPr>
      </w:pPr>
      <w:r>
        <w:rPr>
          <w:rFonts w:ascii="Times" w:hAnsi="Times" w:cs="Times"/>
        </w:rPr>
        <w:t xml:space="preserve">3. Johnston EB et al. </w:t>
      </w:r>
      <w:r w:rsidRPr="00F044DF">
        <w:rPr>
          <w:rFonts w:eastAsia="Times New Roman" w:cs="Arial"/>
          <w:bCs/>
          <w:color w:val="000000"/>
          <w:kern w:val="36"/>
        </w:rPr>
        <w:t>Pediatric anaphylaxis in the operating room for anesthesia residents: a simulation study.</w:t>
      </w:r>
      <w:r>
        <w:rPr>
          <w:rFonts w:eastAsia="Times New Roman" w:cs="Arial"/>
          <w:bCs/>
          <w:color w:val="000000"/>
          <w:kern w:val="36"/>
        </w:rPr>
        <w:t xml:space="preserve"> </w:t>
      </w:r>
      <w:hyperlink r:id="rId17" w:tooltip="Paediatric anaesthesia." w:history="1">
        <w:proofErr w:type="spellStart"/>
        <w:r w:rsidRPr="00F044DF">
          <w:rPr>
            <w:rFonts w:eastAsia="Times New Roman" w:cs="Arial"/>
            <w:u w:val="single"/>
          </w:rPr>
          <w:t>Paediatr</w:t>
        </w:r>
        <w:proofErr w:type="spellEnd"/>
        <w:r w:rsidRPr="00F044DF">
          <w:rPr>
            <w:rFonts w:eastAsia="Times New Roman" w:cs="Arial"/>
            <w:u w:val="single"/>
          </w:rPr>
          <w:t xml:space="preserve"> </w:t>
        </w:r>
        <w:proofErr w:type="spellStart"/>
        <w:r w:rsidRPr="00F044DF">
          <w:rPr>
            <w:rFonts w:eastAsia="Times New Roman" w:cs="Arial"/>
            <w:u w:val="single"/>
          </w:rPr>
          <w:t>Anaesth</w:t>
        </w:r>
        <w:proofErr w:type="spellEnd"/>
        <w:r w:rsidRPr="00F044DF">
          <w:rPr>
            <w:rFonts w:eastAsia="Times New Roman" w:cs="Arial"/>
            <w:u w:val="single"/>
          </w:rPr>
          <w:t>.</w:t>
        </w:r>
      </w:hyperlink>
      <w:r w:rsidRPr="00F044DF">
        <w:rPr>
          <w:rFonts w:eastAsia="Times New Roman" w:cs="Arial"/>
        </w:rPr>
        <w:t> 2017 Feb</w:t>
      </w:r>
      <w:r w:rsidR="00894388" w:rsidRPr="00F044DF">
        <w:rPr>
          <w:rFonts w:eastAsia="Times New Roman" w:cs="Arial"/>
        </w:rPr>
        <w:t>; 27</w:t>
      </w:r>
      <w:r w:rsidRPr="00F044DF">
        <w:rPr>
          <w:rFonts w:eastAsia="Times New Roman" w:cs="Arial"/>
        </w:rPr>
        <w:t>(2)</w:t>
      </w:r>
      <w:proofErr w:type="gramStart"/>
      <w:r w:rsidRPr="00F044DF">
        <w:rPr>
          <w:rFonts w:eastAsia="Times New Roman" w:cs="Arial"/>
        </w:rPr>
        <w:t>:205</w:t>
      </w:r>
      <w:proofErr w:type="gramEnd"/>
      <w:r w:rsidRPr="00F044DF">
        <w:rPr>
          <w:rFonts w:eastAsia="Times New Roman" w:cs="Arial"/>
        </w:rPr>
        <w:t xml:space="preserve">-210. </w:t>
      </w:r>
      <w:proofErr w:type="spellStart"/>
      <w:proofErr w:type="gramStart"/>
      <w:r w:rsidRPr="00F044DF">
        <w:rPr>
          <w:rFonts w:eastAsia="Times New Roman" w:cs="Arial"/>
        </w:rPr>
        <w:t>doi</w:t>
      </w:r>
      <w:proofErr w:type="spellEnd"/>
      <w:proofErr w:type="gramEnd"/>
      <w:r w:rsidRPr="00F044DF">
        <w:rPr>
          <w:rFonts w:eastAsia="Times New Roman" w:cs="Arial"/>
        </w:rPr>
        <w:t>: 10.1111/</w:t>
      </w:r>
      <w:proofErr w:type="spellStart"/>
      <w:r w:rsidRPr="00F044DF">
        <w:rPr>
          <w:rFonts w:eastAsia="Times New Roman" w:cs="Arial"/>
        </w:rPr>
        <w:t>pan.13052</w:t>
      </w:r>
      <w:proofErr w:type="spellEnd"/>
      <w:r w:rsidRPr="00F044DF">
        <w:rPr>
          <w:rFonts w:eastAsia="Times New Roman" w:cs="Arial"/>
        </w:rPr>
        <w:t xml:space="preserve">. </w:t>
      </w:r>
    </w:p>
    <w:p w14:paraId="0E6EA21B" w14:textId="66E13354" w:rsidR="00BB5870" w:rsidRPr="00F044DF" w:rsidRDefault="00BB5870" w:rsidP="00FB6144">
      <w:pPr>
        <w:rPr>
          <w:rFonts w:cs="Times"/>
        </w:rPr>
      </w:pPr>
    </w:p>
    <w:p w14:paraId="454DAB91" w14:textId="5BB5F24E" w:rsidR="00D56B32" w:rsidRDefault="000C48FA" w:rsidP="00D56B32">
      <w:r>
        <w:t xml:space="preserve">4. </w:t>
      </w:r>
      <w:proofErr w:type="spellStart"/>
      <w:r>
        <w:t>Dewatcher</w:t>
      </w:r>
      <w:proofErr w:type="spellEnd"/>
      <w:r>
        <w:t xml:space="preserve"> P, Mouton-</w:t>
      </w:r>
      <w:proofErr w:type="spellStart"/>
      <w:r>
        <w:t>Faivre</w:t>
      </w:r>
      <w:proofErr w:type="spellEnd"/>
      <w:r>
        <w:t xml:space="preserve"> C, </w:t>
      </w:r>
      <w:proofErr w:type="spellStart"/>
      <w:r>
        <w:t>Emala</w:t>
      </w:r>
      <w:proofErr w:type="spellEnd"/>
      <w:r>
        <w:t xml:space="preserve"> CW et al. Anaphylaxis and Anesthesia Controversies and New Insights. Anesthesiology 2009; 111:1141–50  </w:t>
      </w:r>
    </w:p>
    <w:p w14:paraId="6E1D8DDF" w14:textId="77777777" w:rsidR="000C48FA" w:rsidRPr="00F044DF" w:rsidRDefault="000C48FA" w:rsidP="00D56B32"/>
    <w:p w14:paraId="4FBBB7A3" w14:textId="043175E5" w:rsidR="00D56B32" w:rsidRPr="00F044DF" w:rsidRDefault="00D56B32" w:rsidP="00D56B32">
      <w:r w:rsidRPr="00F044DF">
        <w:t>Pre-test:</w:t>
      </w:r>
      <w:r w:rsidR="00BB5870" w:rsidRPr="00F044DF">
        <w:t xml:space="preserve">  None</w:t>
      </w:r>
    </w:p>
    <w:p w14:paraId="6F80B982" w14:textId="77777777" w:rsidR="00D56B32" w:rsidRDefault="00D56B32" w:rsidP="00D56B32">
      <w:r>
        <w:t xml:space="preserve"> </w:t>
      </w:r>
    </w:p>
    <w:p w14:paraId="3859B380" w14:textId="78848A9C" w:rsidR="00D56B32" w:rsidRDefault="00D56B32" w:rsidP="00D56B32">
      <w:r>
        <w:t>Post-test:</w:t>
      </w:r>
      <w:r w:rsidR="00BB5870">
        <w:t xml:space="preserve">  None</w:t>
      </w:r>
    </w:p>
    <w:p w14:paraId="64481854" w14:textId="77777777" w:rsidR="00D56B32" w:rsidRDefault="00D56B32" w:rsidP="00D56B32">
      <w:r>
        <w:t xml:space="preserve"> </w:t>
      </w:r>
    </w:p>
    <w:p w14:paraId="3CDA3EC2" w14:textId="0FC67A43" w:rsidR="00D56B32" w:rsidRDefault="00D56B32" w:rsidP="00D56B32">
      <w:r>
        <w:t xml:space="preserve"> Evaluations:</w:t>
      </w:r>
      <w:r w:rsidR="00BB5870">
        <w:t xml:space="preserve">  </w:t>
      </w:r>
      <w:r w:rsidR="00FC1CB0">
        <w:t>standard</w:t>
      </w:r>
    </w:p>
    <w:p w14:paraId="1BA67611" w14:textId="77777777" w:rsidR="00D56B32" w:rsidRDefault="00D56B32" w:rsidP="00D56B32"/>
    <w:p w14:paraId="01404A48" w14:textId="7D827F87" w:rsidR="00BB5870" w:rsidRDefault="00D56B32" w:rsidP="00FC1CB0">
      <w:r>
        <w:t xml:space="preserve"> </w:t>
      </w:r>
    </w:p>
    <w:p w14:paraId="1A6E5751" w14:textId="77777777" w:rsidR="00D56B32" w:rsidRDefault="00D56B32" w:rsidP="00D56B32">
      <w:r>
        <w:t xml:space="preserve"> </w:t>
      </w:r>
    </w:p>
    <w:p w14:paraId="161889E2" w14:textId="77777777" w:rsidR="00D56B32" w:rsidRDefault="00D56B32" w:rsidP="00D56B32">
      <w:r>
        <w:t xml:space="preserve"> </w:t>
      </w:r>
    </w:p>
    <w:p w14:paraId="466E5EB5" w14:textId="77777777" w:rsidR="00410F92" w:rsidRDefault="00D56B32" w:rsidP="00D56B32">
      <w:r>
        <w:t xml:space="preserve"> </w:t>
      </w:r>
    </w:p>
    <w:sectPr w:rsidR="00410F92" w:rsidSect="00410F92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94732" w14:textId="77777777" w:rsidR="00D86D95" w:rsidRDefault="00D86D95" w:rsidP="00894388">
      <w:r>
        <w:separator/>
      </w:r>
    </w:p>
  </w:endnote>
  <w:endnote w:type="continuationSeparator" w:id="0">
    <w:p w14:paraId="20E19941" w14:textId="77777777" w:rsidR="00D86D95" w:rsidRDefault="00D86D95" w:rsidP="0089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fb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84E3C" w14:textId="77777777" w:rsidR="00D86D95" w:rsidRDefault="00D86D95" w:rsidP="00894388">
      <w:r>
        <w:separator/>
      </w:r>
    </w:p>
  </w:footnote>
  <w:footnote w:type="continuationSeparator" w:id="0">
    <w:p w14:paraId="7FF7B6EC" w14:textId="77777777" w:rsidR="00D86D95" w:rsidRDefault="00D86D95" w:rsidP="00894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42A9" w14:textId="3EB98262" w:rsidR="00600A09" w:rsidRDefault="00600A09">
    <w:pPr>
      <w:pStyle w:val="Header"/>
    </w:pPr>
    <w:r>
      <w:t>SPA-crisis checklist/anaphylaxis/PD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32"/>
    <w:rsid w:val="00025C23"/>
    <w:rsid w:val="00031A2B"/>
    <w:rsid w:val="00031BC9"/>
    <w:rsid w:val="000C4859"/>
    <w:rsid w:val="000C48FA"/>
    <w:rsid w:val="000F1F7A"/>
    <w:rsid w:val="00164C18"/>
    <w:rsid w:val="00185486"/>
    <w:rsid w:val="001A62FE"/>
    <w:rsid w:val="00222330"/>
    <w:rsid w:val="002357EE"/>
    <w:rsid w:val="00267404"/>
    <w:rsid w:val="00326BBD"/>
    <w:rsid w:val="003325BC"/>
    <w:rsid w:val="0036045A"/>
    <w:rsid w:val="00391F96"/>
    <w:rsid w:val="0039698B"/>
    <w:rsid w:val="003F530D"/>
    <w:rsid w:val="00410F92"/>
    <w:rsid w:val="00411114"/>
    <w:rsid w:val="00437883"/>
    <w:rsid w:val="00517C88"/>
    <w:rsid w:val="00546FA8"/>
    <w:rsid w:val="005A4989"/>
    <w:rsid w:val="005D4E73"/>
    <w:rsid w:val="005E6724"/>
    <w:rsid w:val="00600386"/>
    <w:rsid w:val="00600A09"/>
    <w:rsid w:val="006475EA"/>
    <w:rsid w:val="00671F8F"/>
    <w:rsid w:val="0070664D"/>
    <w:rsid w:val="00710321"/>
    <w:rsid w:val="00715944"/>
    <w:rsid w:val="007223B7"/>
    <w:rsid w:val="0073564C"/>
    <w:rsid w:val="00735919"/>
    <w:rsid w:val="0077124A"/>
    <w:rsid w:val="00826EBE"/>
    <w:rsid w:val="0083750D"/>
    <w:rsid w:val="00847257"/>
    <w:rsid w:val="008601E5"/>
    <w:rsid w:val="00894388"/>
    <w:rsid w:val="008D3F4B"/>
    <w:rsid w:val="008F1E85"/>
    <w:rsid w:val="00943E2F"/>
    <w:rsid w:val="00944188"/>
    <w:rsid w:val="00950D97"/>
    <w:rsid w:val="00961BC8"/>
    <w:rsid w:val="00964796"/>
    <w:rsid w:val="00980029"/>
    <w:rsid w:val="009A1850"/>
    <w:rsid w:val="009C469D"/>
    <w:rsid w:val="009E2942"/>
    <w:rsid w:val="00A0369A"/>
    <w:rsid w:val="00A46262"/>
    <w:rsid w:val="00A908B3"/>
    <w:rsid w:val="00AC6478"/>
    <w:rsid w:val="00AE46DD"/>
    <w:rsid w:val="00B1595D"/>
    <w:rsid w:val="00B21DC7"/>
    <w:rsid w:val="00BA1B8B"/>
    <w:rsid w:val="00BB5870"/>
    <w:rsid w:val="00BC044F"/>
    <w:rsid w:val="00BE0925"/>
    <w:rsid w:val="00BE23F0"/>
    <w:rsid w:val="00BE66B1"/>
    <w:rsid w:val="00C13AE9"/>
    <w:rsid w:val="00C50A58"/>
    <w:rsid w:val="00C96FFD"/>
    <w:rsid w:val="00CD69CE"/>
    <w:rsid w:val="00CF472E"/>
    <w:rsid w:val="00D16B00"/>
    <w:rsid w:val="00D20B8F"/>
    <w:rsid w:val="00D56B32"/>
    <w:rsid w:val="00D86D95"/>
    <w:rsid w:val="00DC10E3"/>
    <w:rsid w:val="00DD22DA"/>
    <w:rsid w:val="00DD2ECB"/>
    <w:rsid w:val="00DE48C2"/>
    <w:rsid w:val="00DF2354"/>
    <w:rsid w:val="00DF7BDF"/>
    <w:rsid w:val="00E341E4"/>
    <w:rsid w:val="00E60FCC"/>
    <w:rsid w:val="00E627AD"/>
    <w:rsid w:val="00E922C5"/>
    <w:rsid w:val="00E937B3"/>
    <w:rsid w:val="00F044DF"/>
    <w:rsid w:val="00F06E3C"/>
    <w:rsid w:val="00F21A9F"/>
    <w:rsid w:val="00F5220E"/>
    <w:rsid w:val="00F711F1"/>
    <w:rsid w:val="00F77082"/>
    <w:rsid w:val="00FB6144"/>
    <w:rsid w:val="00FC1CB0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5A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E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9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D2ECB"/>
    <w:rPr>
      <w:color w:val="0000FF"/>
      <w:u w:val="single"/>
    </w:rPr>
  </w:style>
  <w:style w:type="character" w:customStyle="1" w:styleId="highlight">
    <w:name w:val="highlight"/>
    <w:basedOn w:val="DefaultParagraphFont"/>
    <w:rsid w:val="00DD2ECB"/>
  </w:style>
  <w:style w:type="character" w:customStyle="1" w:styleId="current-selection">
    <w:name w:val="current-selection"/>
    <w:basedOn w:val="DefaultParagraphFont"/>
    <w:rsid w:val="00F044DF"/>
  </w:style>
  <w:style w:type="character" w:customStyle="1" w:styleId="a">
    <w:name w:val="_"/>
    <w:basedOn w:val="DefaultParagraphFont"/>
    <w:rsid w:val="00F044DF"/>
  </w:style>
  <w:style w:type="paragraph" w:styleId="Header">
    <w:name w:val="header"/>
    <w:basedOn w:val="Normal"/>
    <w:link w:val="HeaderChar"/>
    <w:uiPriority w:val="99"/>
    <w:unhideWhenUsed/>
    <w:rsid w:val="0089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388"/>
  </w:style>
  <w:style w:type="paragraph" w:styleId="Footer">
    <w:name w:val="footer"/>
    <w:basedOn w:val="Normal"/>
    <w:link w:val="FooterChar"/>
    <w:uiPriority w:val="99"/>
    <w:unhideWhenUsed/>
    <w:rsid w:val="0089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88"/>
  </w:style>
  <w:style w:type="table" w:styleId="TableGrid">
    <w:name w:val="Table Grid"/>
    <w:basedOn w:val="TableNormal"/>
    <w:uiPriority w:val="59"/>
    <w:rsid w:val="00DF235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E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9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D2ECB"/>
    <w:rPr>
      <w:color w:val="0000FF"/>
      <w:u w:val="single"/>
    </w:rPr>
  </w:style>
  <w:style w:type="character" w:customStyle="1" w:styleId="highlight">
    <w:name w:val="highlight"/>
    <w:basedOn w:val="DefaultParagraphFont"/>
    <w:rsid w:val="00DD2ECB"/>
  </w:style>
  <w:style w:type="character" w:customStyle="1" w:styleId="current-selection">
    <w:name w:val="current-selection"/>
    <w:basedOn w:val="DefaultParagraphFont"/>
    <w:rsid w:val="00F044DF"/>
  </w:style>
  <w:style w:type="character" w:customStyle="1" w:styleId="a">
    <w:name w:val="_"/>
    <w:basedOn w:val="DefaultParagraphFont"/>
    <w:rsid w:val="00F044DF"/>
  </w:style>
  <w:style w:type="paragraph" w:styleId="Header">
    <w:name w:val="header"/>
    <w:basedOn w:val="Normal"/>
    <w:link w:val="HeaderChar"/>
    <w:uiPriority w:val="99"/>
    <w:unhideWhenUsed/>
    <w:rsid w:val="0089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388"/>
  </w:style>
  <w:style w:type="paragraph" w:styleId="Footer">
    <w:name w:val="footer"/>
    <w:basedOn w:val="Normal"/>
    <w:link w:val="FooterChar"/>
    <w:uiPriority w:val="99"/>
    <w:unhideWhenUsed/>
    <w:rsid w:val="0089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88"/>
  </w:style>
  <w:style w:type="table" w:styleId="TableGrid">
    <w:name w:val="Table Grid"/>
    <w:basedOn w:val="TableNormal"/>
    <w:uiPriority w:val="59"/>
    <w:rsid w:val="00DF235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cbi.nlm.nih.gov/pubmed/?term=Thomas%20M%5BAuthor%5D&amp;cauthor=true&amp;cauthor_uid=28498889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ncbi.nlm.nih.gov/pubmed/?term=Harper%20NJN%5BAuthor%5D&amp;cauthor=true&amp;cauthor_uid=28498889" TargetMode="External"/><Relationship Id="rId11" Type="http://schemas.openxmlformats.org/officeDocument/2006/relationships/hyperlink" Target="https://www.ncbi.nlm.nih.gov/pubmed/28498889" TargetMode="External"/><Relationship Id="rId12" Type="http://schemas.openxmlformats.org/officeDocument/2006/relationships/hyperlink" Target="https://www.ncbi.nlm.nih.gov/pubmed/?term=Meng%20J%5BAuthor%5D&amp;cauthor=true&amp;cauthor_uid=28164272" TargetMode="External"/><Relationship Id="rId13" Type="http://schemas.openxmlformats.org/officeDocument/2006/relationships/hyperlink" Target="https://www.ncbi.nlm.nih.gov/pubmed/?term=Rotiroti%20G%5BAuthor%5D&amp;cauthor=true&amp;cauthor_uid=28164272" TargetMode="External"/><Relationship Id="rId14" Type="http://schemas.openxmlformats.org/officeDocument/2006/relationships/hyperlink" Target="https://www.ncbi.nlm.nih.gov/pubmed/?term=Burdett%20E%5BAuthor%5D&amp;cauthor=true&amp;cauthor_uid=28164272" TargetMode="External"/><Relationship Id="rId15" Type="http://schemas.openxmlformats.org/officeDocument/2006/relationships/hyperlink" Target="https://www.ncbi.nlm.nih.gov/pubmed/?term=Lukawska%20JJ%5BAuthor%5D&amp;cauthor=true&amp;cauthor_uid=28164272" TargetMode="External"/><Relationship Id="rId16" Type="http://schemas.openxmlformats.org/officeDocument/2006/relationships/hyperlink" Target="https://www.ncbi.nlm.nih.gov/pubmed/28164272" TargetMode="External"/><Relationship Id="rId17" Type="http://schemas.openxmlformats.org/officeDocument/2006/relationships/hyperlink" Target="https://www.ncbi.nlm.nih.gov/pubmed/27957774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pubmed/?term=Kemp%20HI%5BAuthor%5D&amp;cauthor=true&amp;cauthor_uid=28498889" TargetMode="External"/><Relationship Id="rId8" Type="http://schemas.openxmlformats.org/officeDocument/2006/relationships/hyperlink" Target="https://www.ncbi.nlm.nih.gov/pubmed/?term=Cook%20TM%5BAuthor%5D&amp;cauthor=true&amp;cauthor_uid=28498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1427</Words>
  <Characters>8135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Premal Trivedi</dc:creator>
  <cp:lastModifiedBy>Anna Clebone Ruskin</cp:lastModifiedBy>
  <cp:revision>2</cp:revision>
  <cp:lastPrinted>2017-10-11T15:06:00Z</cp:lastPrinted>
  <dcterms:created xsi:type="dcterms:W3CDTF">2018-06-02T07:30:00Z</dcterms:created>
  <dcterms:modified xsi:type="dcterms:W3CDTF">2018-06-02T07:30:00Z</dcterms:modified>
</cp:coreProperties>
</file>